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widowControl/>
        <w:spacing w:line="680" w:lineRule="exact"/>
        <w:jc w:val="center"/>
        <w:rPr>
          <w:rFonts w:hint="default" w:ascii="Times New Roman" w:hAnsi="Times New Roman" w:eastAsia="楷体_GB2312" w:cs="Times New Roman"/>
          <w:color w:val="000000"/>
          <w:kern w:val="0"/>
          <w:sz w:val="32"/>
          <w:szCs w:val="32"/>
          <w:lang w:eastAsia="zh-CN"/>
        </w:rPr>
      </w:pPr>
      <w:r>
        <w:rPr>
          <w:rFonts w:hint="eastAsia" w:ascii="Times New Roman" w:hAnsi="Times New Roman" w:eastAsia="方正小标宋简体" w:cs="Times New Roman"/>
          <w:color w:val="000000"/>
          <w:kern w:val="0"/>
          <w:sz w:val="43"/>
          <w:szCs w:val="43"/>
          <w:lang w:val="en-US" w:eastAsia="zh-CN"/>
        </w:rPr>
        <w:t>祁门县</w:t>
      </w:r>
      <w:r>
        <w:rPr>
          <w:rFonts w:hint="eastAsia" w:ascii="Times New Roman" w:hAnsi="Times New Roman" w:eastAsia="方正小标宋简体" w:cs="Times New Roman"/>
          <w:color w:val="000000"/>
          <w:kern w:val="0"/>
          <w:sz w:val="43"/>
          <w:szCs w:val="43"/>
          <w:lang w:eastAsia="zh-CN"/>
        </w:rPr>
        <w:t>住建系统</w:t>
      </w:r>
      <w:r>
        <w:rPr>
          <w:rFonts w:hint="default" w:ascii="Times New Roman" w:hAnsi="Times New Roman" w:eastAsia="方正小标宋简体" w:cs="Times New Roman"/>
          <w:color w:val="000000"/>
          <w:kern w:val="0"/>
          <w:sz w:val="43"/>
          <w:szCs w:val="43"/>
        </w:rPr>
        <w:t>202</w:t>
      </w:r>
      <w:r>
        <w:rPr>
          <w:rFonts w:hint="eastAsia" w:ascii="Times New Roman" w:hAnsi="Times New Roman" w:eastAsia="方正小标宋简体" w:cs="Times New Roman"/>
          <w:color w:val="000000"/>
          <w:kern w:val="0"/>
          <w:sz w:val="43"/>
          <w:szCs w:val="43"/>
          <w:lang w:val="en-US" w:eastAsia="zh-CN"/>
        </w:rPr>
        <w:t>3</w:t>
      </w:r>
      <w:r>
        <w:rPr>
          <w:rFonts w:hint="default" w:ascii="Times New Roman" w:hAnsi="Times New Roman" w:eastAsia="方正小标宋简体" w:cs="Times New Roman"/>
          <w:color w:val="000000"/>
          <w:kern w:val="0"/>
          <w:sz w:val="43"/>
          <w:szCs w:val="43"/>
        </w:rPr>
        <w:t>年安全生产工作</w:t>
      </w:r>
      <w:r>
        <w:rPr>
          <w:rFonts w:hint="eastAsia" w:ascii="Times New Roman" w:hAnsi="Times New Roman" w:eastAsia="方正小标宋简体" w:cs="Times New Roman"/>
          <w:color w:val="000000"/>
          <w:kern w:val="0"/>
          <w:sz w:val="43"/>
          <w:szCs w:val="43"/>
          <w:lang w:eastAsia="zh-CN"/>
        </w:rPr>
        <w:t>要点</w:t>
      </w:r>
      <w:r>
        <w:rPr>
          <w:rFonts w:hint="default" w:ascii="Times New Roman" w:hAnsi="Times New Roman" w:eastAsia="方正小标宋简体" w:cs="Times New Roman"/>
          <w:color w:val="000000"/>
          <w:kern w:val="0"/>
          <w:sz w:val="43"/>
          <w:szCs w:val="43"/>
        </w:rPr>
        <w:t>任务分解方案</w:t>
      </w:r>
    </w:p>
    <w:tbl>
      <w:tblPr>
        <w:tblStyle w:val="6"/>
        <w:tblW w:w="1310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0"/>
        <w:gridCol w:w="7003"/>
        <w:gridCol w:w="2279"/>
        <w:gridCol w:w="28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4" w:hRule="atLeast"/>
          <w:tblHeader/>
          <w:jc w:val="center"/>
        </w:trPr>
        <w:tc>
          <w:tcPr>
            <w:tcW w:w="96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黑体" w:cs="Times New Roman"/>
                <w:b w:val="0"/>
                <w:bCs w:val="0"/>
                <w:color w:val="000000"/>
                <w:kern w:val="0"/>
                <w:sz w:val="28"/>
                <w:szCs w:val="28"/>
                <w:lang w:val="en-US" w:eastAsia="zh-CN"/>
              </w:rPr>
            </w:pPr>
            <w:r>
              <w:rPr>
                <w:rFonts w:hint="default" w:ascii="Times New Roman" w:hAnsi="Times New Roman" w:eastAsia="黑体" w:cs="Times New Roman"/>
                <w:b w:val="0"/>
                <w:bCs w:val="0"/>
                <w:color w:val="000000"/>
                <w:kern w:val="0"/>
                <w:sz w:val="28"/>
                <w:szCs w:val="28"/>
                <w:lang w:val="en-US" w:eastAsia="zh-CN"/>
              </w:rPr>
              <w:t>序号</w:t>
            </w:r>
          </w:p>
        </w:tc>
        <w:tc>
          <w:tcPr>
            <w:tcW w:w="7003"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color w:val="000000"/>
                <w:kern w:val="0"/>
                <w:sz w:val="28"/>
                <w:szCs w:val="28"/>
                <w:lang w:val="en-US" w:eastAsia="zh-CN"/>
              </w:rPr>
              <w:t>具体内容</w:t>
            </w:r>
          </w:p>
        </w:tc>
        <w:tc>
          <w:tcPr>
            <w:tcW w:w="2279"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黑体" w:cs="Times New Roman"/>
                <w:b w:val="0"/>
                <w:bCs w:val="0"/>
                <w:sz w:val="28"/>
                <w:szCs w:val="28"/>
              </w:rPr>
            </w:pPr>
            <w:r>
              <w:rPr>
                <w:rFonts w:hint="eastAsia" w:ascii="Times New Roman" w:hAnsi="Times New Roman" w:eastAsia="黑体" w:cs="Times New Roman"/>
                <w:b w:val="0"/>
                <w:bCs w:val="0"/>
                <w:sz w:val="28"/>
                <w:szCs w:val="28"/>
                <w:lang w:val="en-US" w:eastAsia="zh-CN"/>
              </w:rPr>
              <w:t>负责股室（</w:t>
            </w:r>
            <w:r>
              <w:rPr>
                <w:rFonts w:hint="default" w:ascii="Times New Roman" w:hAnsi="Times New Roman" w:eastAsia="黑体" w:cs="Times New Roman"/>
                <w:b w:val="0"/>
                <w:bCs w:val="0"/>
                <w:sz w:val="28"/>
                <w:szCs w:val="28"/>
                <w:lang w:val="en-US" w:eastAsia="zh-CN"/>
              </w:rPr>
              <w:t>单位</w:t>
            </w:r>
            <w:r>
              <w:rPr>
                <w:rFonts w:hint="eastAsia" w:ascii="Times New Roman" w:hAnsi="Times New Roman" w:eastAsia="黑体" w:cs="Times New Roman"/>
                <w:b w:val="0"/>
                <w:bCs w:val="0"/>
                <w:sz w:val="28"/>
                <w:szCs w:val="28"/>
                <w:lang w:val="en-US" w:eastAsia="zh-CN"/>
              </w:rPr>
              <w:t>）</w:t>
            </w:r>
          </w:p>
        </w:tc>
        <w:tc>
          <w:tcPr>
            <w:tcW w:w="286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8"/>
                <w:szCs w:val="28"/>
                <w:lang w:val="en-US"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13109" w:type="dxa"/>
            <w:gridSpan w:val="4"/>
            <w:vAlign w:val="center"/>
          </w:tcPr>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楷体_GB2312" w:cs="Times New Roman"/>
                <w:b/>
                <w:bCs/>
                <w:color w:val="000000"/>
                <w:kern w:val="0"/>
                <w:sz w:val="28"/>
                <w:szCs w:val="28"/>
                <w:lang w:val="en-US" w:eastAsia="zh-CN" w:bidi="ar"/>
              </w:rPr>
              <w:t>一、</w:t>
            </w:r>
            <w:r>
              <w:rPr>
                <w:rFonts w:hint="eastAsia" w:ascii="Times New Roman" w:hAnsi="Times New Roman" w:eastAsia="楷体_GB2312" w:cs="Times New Roman"/>
                <w:b/>
                <w:bCs/>
                <w:color w:val="000000"/>
                <w:kern w:val="0"/>
                <w:sz w:val="28"/>
                <w:szCs w:val="28"/>
                <w:lang w:val="en-US" w:eastAsia="zh-CN" w:bidi="ar"/>
              </w:rPr>
              <w:t>强化</w:t>
            </w:r>
            <w:r>
              <w:rPr>
                <w:rFonts w:hint="default" w:ascii="Times New Roman" w:hAnsi="Times New Roman" w:eastAsia="楷体_GB2312" w:cs="Times New Roman"/>
                <w:b/>
                <w:bCs/>
                <w:color w:val="000000"/>
                <w:kern w:val="0"/>
                <w:sz w:val="28"/>
                <w:szCs w:val="28"/>
                <w:lang w:val="en-US" w:eastAsia="zh-CN" w:bidi="ar"/>
              </w:rPr>
              <w:t>人民至上、生命至上理念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000000"/>
                <w:kern w:val="0"/>
                <w:sz w:val="28"/>
                <w:szCs w:val="28"/>
                <w:shd w:val="clear" w:color="auto" w:fill="FFFFFF"/>
              </w:rPr>
              <w:t>深入学习贯彻党的二十大精神和习近平总书记关于安全生产重要论述。</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局办公室</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val="0"/>
                <w:bCs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5"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2</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color w:val="000000"/>
                <w:kern w:val="0"/>
                <w:sz w:val="28"/>
                <w:szCs w:val="28"/>
                <w:shd w:val="clear" w:color="auto" w:fill="FFFFFF"/>
              </w:rPr>
              <w:t>深化“两扫、两铁”专项治理行动。</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局安委办</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局安委办各成员股室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0" w:hRule="atLeast"/>
          <w:jc w:val="center"/>
        </w:trPr>
        <w:tc>
          <w:tcPr>
            <w:tcW w:w="13109" w:type="dxa"/>
            <w:gridSpan w:val="4"/>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仿宋_GB2312" w:cs="Times New Roman"/>
                <w:b w:val="0"/>
                <w:bCs w:val="0"/>
                <w:sz w:val="28"/>
                <w:szCs w:val="28"/>
                <w:lang w:eastAsia="zh-CN"/>
              </w:rPr>
            </w:pPr>
            <w:r>
              <w:rPr>
                <w:rFonts w:hint="eastAsia" w:ascii="Times New Roman" w:hAnsi="Times New Roman" w:eastAsia="楷体_GB2312" w:cs="Times New Roman"/>
                <w:b/>
                <w:bCs/>
                <w:color w:val="000000"/>
                <w:kern w:val="0"/>
                <w:sz w:val="28"/>
                <w:szCs w:val="28"/>
                <w:lang w:val="en-US" w:eastAsia="zh-CN" w:bidi="ar"/>
              </w:rPr>
              <w:t>二、深化自建房安全专项整治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color w:val="000000"/>
                <w:kern w:val="0"/>
                <w:sz w:val="28"/>
                <w:szCs w:val="28"/>
                <w:shd w:val="clear" w:color="auto" w:fill="FFFFFF"/>
              </w:rPr>
              <w:t>持续推进安全隐患排查整治。</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村镇股</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val="0"/>
                <w:bCs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color w:val="000000"/>
                <w:kern w:val="0"/>
                <w:sz w:val="28"/>
                <w:szCs w:val="28"/>
                <w:shd w:val="clear" w:color="auto" w:fill="FFFFFF"/>
              </w:rPr>
              <w:t>实施分类整治。</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村镇股</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val="0"/>
                <w:bCs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bCs/>
                <w:sz w:val="28"/>
                <w:szCs w:val="28"/>
              </w:rPr>
              <w:t>建立自建房长效管理机制。</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村镇股</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val="0"/>
                <w:bCs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0" w:hRule="atLeast"/>
          <w:jc w:val="center"/>
        </w:trPr>
        <w:tc>
          <w:tcPr>
            <w:tcW w:w="13109"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楷体_GB2312" w:cs="Times New Roman"/>
                <w:b/>
                <w:bCs/>
                <w:color w:val="000000"/>
                <w:kern w:val="0"/>
                <w:sz w:val="28"/>
                <w:szCs w:val="28"/>
                <w:lang w:val="en-US" w:eastAsia="zh-CN" w:bidi="ar"/>
              </w:rPr>
              <w:t>三、强化建筑施工安全风险防控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5"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color w:val="000000"/>
                <w:kern w:val="0"/>
                <w:sz w:val="28"/>
                <w:szCs w:val="28"/>
                <w:shd w:val="clear" w:color="auto" w:fill="FFFFFF"/>
              </w:rPr>
              <w:t>严格危大工程管控。</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质安站</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kern w:val="2"/>
                <w:sz w:val="28"/>
                <w:szCs w:val="2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color w:val="000000"/>
                <w:kern w:val="0"/>
                <w:sz w:val="28"/>
                <w:szCs w:val="28"/>
                <w:shd w:val="clear" w:color="auto" w:fill="FFFFFF"/>
              </w:rPr>
              <w:t>加强有限空间作业管理。</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质安站、城建股</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kern w:val="2"/>
                <w:sz w:val="28"/>
                <w:szCs w:val="2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color w:val="000000"/>
                <w:kern w:val="0"/>
                <w:sz w:val="28"/>
                <w:szCs w:val="28"/>
                <w:shd w:val="clear" w:color="auto" w:fill="FFFFFF"/>
              </w:rPr>
              <w:t>加强高处作业管理。</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质安站</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kern w:val="2"/>
                <w:sz w:val="28"/>
                <w:szCs w:val="2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 w:hRule="atLeast"/>
          <w:jc w:val="center"/>
        </w:trPr>
        <w:tc>
          <w:tcPr>
            <w:tcW w:w="13109"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Times New Roman" w:hAnsi="Times New Roman" w:eastAsia="楷体_GB2312" w:cs="Times New Roman"/>
                <w:b/>
                <w:bCs/>
                <w:color w:val="000000"/>
                <w:kern w:val="0"/>
                <w:sz w:val="28"/>
                <w:szCs w:val="28"/>
                <w:lang w:val="en-US" w:eastAsia="zh-CN" w:bidi="ar"/>
              </w:rPr>
              <w:t>四</w:t>
            </w:r>
            <w:r>
              <w:rPr>
                <w:rFonts w:hint="default" w:ascii="Times New Roman" w:hAnsi="Times New Roman" w:eastAsia="楷体_GB2312" w:cs="Times New Roman"/>
                <w:b/>
                <w:bCs/>
                <w:color w:val="000000"/>
                <w:kern w:val="0"/>
                <w:sz w:val="28"/>
                <w:szCs w:val="28"/>
                <w:lang w:val="en-US" w:eastAsia="zh-CN" w:bidi="ar"/>
              </w:rPr>
              <w:t>、</w:t>
            </w:r>
            <w:r>
              <w:rPr>
                <w:rFonts w:hint="default" w:ascii="Times New Roman" w:hAnsi="Times New Roman" w:eastAsia="楷体_GB2312" w:cs="Times New Roman"/>
                <w:b/>
                <w:bCs/>
                <w:color w:val="000000"/>
                <w:kern w:val="0"/>
                <w:sz w:val="28"/>
                <w:szCs w:val="28"/>
                <w:lang w:val="en-US" w:eastAsia="zh-CN" w:bidi="ar"/>
              </w:rPr>
              <w:t>强化建筑</w:t>
            </w:r>
            <w:r>
              <w:rPr>
                <w:rFonts w:hint="eastAsia" w:ascii="Times New Roman" w:hAnsi="Times New Roman" w:eastAsia="楷体_GB2312" w:cs="Times New Roman"/>
                <w:b/>
                <w:bCs/>
                <w:color w:val="000000"/>
                <w:kern w:val="0"/>
                <w:sz w:val="28"/>
                <w:szCs w:val="28"/>
                <w:lang w:val="en-US" w:eastAsia="zh-CN" w:bidi="ar"/>
              </w:rPr>
              <w:t>市场</w:t>
            </w:r>
            <w:bookmarkStart w:id="0" w:name="_GoBack"/>
            <w:bookmarkEnd w:id="0"/>
            <w:r>
              <w:rPr>
                <w:rFonts w:hint="default" w:ascii="Times New Roman" w:hAnsi="Times New Roman" w:eastAsia="楷体_GB2312" w:cs="Times New Roman"/>
                <w:b/>
                <w:bCs/>
                <w:color w:val="000000"/>
                <w:kern w:val="0"/>
                <w:sz w:val="28"/>
                <w:szCs w:val="28"/>
                <w:lang w:val="en-US" w:eastAsia="zh-CN" w:bidi="ar"/>
              </w:rPr>
              <w:t>管理风险防控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color w:val="000000"/>
                <w:kern w:val="0"/>
                <w:sz w:val="28"/>
                <w:szCs w:val="28"/>
                <w:shd w:val="clear" w:color="auto" w:fill="FFFFFF"/>
              </w:rPr>
              <w:t>规范建筑市场管理。</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建管股</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kern w:val="2"/>
                <w:sz w:val="28"/>
                <w:szCs w:val="2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color w:val="000000"/>
                <w:kern w:val="0"/>
                <w:sz w:val="28"/>
                <w:szCs w:val="28"/>
                <w:shd w:val="clear" w:color="auto" w:fill="FFFFFF"/>
              </w:rPr>
              <w:t>防范化解消防安全风险。</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建管股</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kern w:val="2"/>
                <w:sz w:val="28"/>
                <w:szCs w:val="2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jc w:val="center"/>
        </w:trPr>
        <w:tc>
          <w:tcPr>
            <w:tcW w:w="13109"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b w:val="0"/>
                <w:bCs w:val="0"/>
                <w:sz w:val="28"/>
                <w:szCs w:val="28"/>
                <w:lang w:val="en-US" w:eastAsia="zh-CN"/>
              </w:rPr>
            </w:pPr>
            <w:r>
              <w:rPr>
                <w:rFonts w:hint="eastAsia" w:ascii="Times New Roman" w:hAnsi="Times New Roman" w:eastAsia="楷体_GB2312" w:cs="Times New Roman"/>
                <w:b/>
                <w:bCs/>
                <w:color w:val="000000"/>
                <w:kern w:val="0"/>
                <w:sz w:val="28"/>
                <w:szCs w:val="28"/>
                <w:lang w:val="en-US" w:eastAsia="zh-CN" w:bidi="ar"/>
              </w:rPr>
              <w:t>五</w:t>
            </w:r>
            <w:r>
              <w:rPr>
                <w:rFonts w:hint="default" w:ascii="Times New Roman" w:hAnsi="Times New Roman" w:eastAsia="楷体_GB2312" w:cs="Times New Roman"/>
                <w:b/>
                <w:bCs/>
                <w:color w:val="000000"/>
                <w:kern w:val="0"/>
                <w:sz w:val="28"/>
                <w:szCs w:val="28"/>
                <w:lang w:val="en-US" w:eastAsia="zh-CN" w:bidi="ar"/>
              </w:rPr>
              <w:t>、强化市政公用设施安全风险防控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11</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color w:val="000000"/>
                <w:kern w:val="0"/>
                <w:sz w:val="28"/>
                <w:szCs w:val="28"/>
                <w:shd w:val="clear" w:color="auto" w:fill="FFFFFF"/>
              </w:rPr>
              <w:t>深入实施城市生命线安全工程建设</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城建股</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12</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color w:val="000000"/>
                <w:kern w:val="0"/>
                <w:sz w:val="28"/>
                <w:szCs w:val="28"/>
                <w:shd w:val="clear" w:color="auto" w:fill="FFFFFF"/>
              </w:rPr>
              <w:t>加强城镇燃气安全管理</w:t>
            </w:r>
            <w:r>
              <w:rPr>
                <w:rFonts w:hint="eastAsia" w:ascii="仿宋_GB2312" w:hAnsi="仿宋_GB2312" w:eastAsia="仿宋_GB2312" w:cs="仿宋_GB2312"/>
                <w:bCs/>
                <w:sz w:val="28"/>
                <w:szCs w:val="28"/>
                <w:lang w:val="en-US" w:eastAsia="zh-CN"/>
              </w:rPr>
              <w:t>。</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城建股</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8"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13</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color w:val="000000"/>
                <w:kern w:val="0"/>
                <w:sz w:val="28"/>
                <w:szCs w:val="28"/>
                <w:shd w:val="clear" w:color="auto" w:fill="FFFFFF"/>
              </w:rPr>
              <w:t>加强城市排水防涝工作</w:t>
            </w:r>
            <w:r>
              <w:rPr>
                <w:rFonts w:hint="eastAsia" w:ascii="仿宋_GB2312" w:hAnsi="仿宋_GB2312" w:eastAsia="仿宋_GB2312" w:cs="仿宋_GB2312"/>
                <w:bCs/>
                <w:sz w:val="28"/>
                <w:szCs w:val="28"/>
                <w:lang w:val="en-US" w:eastAsia="zh-CN"/>
              </w:rPr>
              <w:t>。</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城建股</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1"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14</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color w:val="000000"/>
                <w:kern w:val="0"/>
                <w:sz w:val="28"/>
                <w:szCs w:val="28"/>
                <w:shd w:val="clear" w:color="auto" w:fill="FFFFFF"/>
              </w:rPr>
              <w:t>强化城市供水规范管理</w:t>
            </w:r>
            <w:r>
              <w:rPr>
                <w:rFonts w:hint="eastAsia" w:ascii="仿宋_GB2312" w:hAnsi="仿宋_GB2312" w:eastAsia="仿宋_GB2312" w:cs="仿宋_GB2312"/>
                <w:color w:val="000000"/>
                <w:kern w:val="0"/>
                <w:sz w:val="28"/>
                <w:szCs w:val="28"/>
                <w:shd w:val="clear" w:color="auto" w:fill="FFFFFF"/>
                <w:lang w:eastAsia="zh-CN"/>
              </w:rPr>
              <w:t>。</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城建股</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jc w:val="center"/>
        </w:trPr>
        <w:tc>
          <w:tcPr>
            <w:tcW w:w="13109" w:type="dxa"/>
            <w:gridSpan w:val="4"/>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楷体_GB2312" w:cs="Times New Roman"/>
                <w:b/>
                <w:bCs/>
                <w:color w:val="000000"/>
                <w:kern w:val="0"/>
                <w:sz w:val="28"/>
                <w:szCs w:val="28"/>
                <w:lang w:val="en-US" w:eastAsia="zh-CN" w:bidi="ar"/>
              </w:rPr>
              <w:t>六</w:t>
            </w:r>
            <w:r>
              <w:rPr>
                <w:rFonts w:hint="default" w:ascii="Times New Roman" w:hAnsi="Times New Roman" w:eastAsia="楷体_GB2312" w:cs="Times New Roman"/>
                <w:b/>
                <w:bCs/>
                <w:color w:val="000000"/>
                <w:kern w:val="0"/>
                <w:sz w:val="28"/>
                <w:szCs w:val="28"/>
                <w:lang w:val="en-US" w:eastAsia="zh-CN" w:bidi="ar"/>
              </w:rPr>
              <w:t>、强化农村住房安全风险管控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15</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kern w:val="0"/>
                <w:sz w:val="28"/>
                <w:szCs w:val="28"/>
              </w:rPr>
              <w:t>做好农房隐患动态排查工作。</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村镇股</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16</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color w:val="auto"/>
                <w:sz w:val="28"/>
                <w:szCs w:val="28"/>
                <w:lang w:val="en-US"/>
              </w:rPr>
              <w:t>扎实推进农村危房改造。</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村镇股</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jc w:val="center"/>
        </w:trPr>
        <w:tc>
          <w:tcPr>
            <w:tcW w:w="13109" w:type="dxa"/>
            <w:gridSpan w:val="4"/>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楷体_GB2312" w:cs="Times New Roman"/>
                <w:b/>
                <w:bCs/>
                <w:color w:val="000000"/>
                <w:kern w:val="0"/>
                <w:sz w:val="28"/>
                <w:szCs w:val="28"/>
                <w:lang w:val="en-US" w:eastAsia="zh-CN" w:bidi="ar"/>
              </w:rPr>
              <w:t>七</w:t>
            </w:r>
            <w:r>
              <w:rPr>
                <w:rFonts w:hint="default" w:ascii="Times New Roman" w:hAnsi="Times New Roman" w:eastAsia="楷体_GB2312" w:cs="Times New Roman"/>
                <w:b/>
                <w:bCs/>
                <w:color w:val="000000"/>
                <w:kern w:val="0"/>
                <w:sz w:val="28"/>
                <w:szCs w:val="28"/>
                <w:lang w:val="en-US" w:eastAsia="zh-CN" w:bidi="ar"/>
              </w:rPr>
              <w:t>、健全安全管理体制机制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5"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17</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color w:val="auto"/>
                <w:sz w:val="28"/>
                <w:szCs w:val="28"/>
                <w:lang w:val="en-US"/>
              </w:rPr>
              <w:t>深化“四个工地”</w:t>
            </w:r>
            <w:r>
              <w:rPr>
                <w:rFonts w:hint="eastAsia"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lang w:val="en-US"/>
              </w:rPr>
              <w:t>“红色工地”</w:t>
            </w:r>
            <w:r>
              <w:rPr>
                <w:rFonts w:hint="eastAsia"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lang w:val="en-US"/>
              </w:rPr>
              <w:t>“绿色工地”</w:t>
            </w:r>
            <w:r>
              <w:rPr>
                <w:rFonts w:hint="eastAsia"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lang w:val="en-US"/>
              </w:rPr>
              <w:t>“智慧工地”</w:t>
            </w:r>
            <w:r>
              <w:rPr>
                <w:rFonts w:hint="eastAsia"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lang w:val="en-US"/>
              </w:rPr>
              <w:t>“安心工地”</w:t>
            </w:r>
            <w:r>
              <w:rPr>
                <w:rFonts w:hint="eastAsia"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lang w:val="en-US"/>
              </w:rPr>
              <w:t>建设。</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质安站</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0"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18</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color w:val="000000"/>
                <w:kern w:val="0"/>
                <w:sz w:val="28"/>
                <w:szCs w:val="28"/>
                <w:shd w:val="clear" w:color="auto" w:fill="FFFFFF"/>
              </w:rPr>
              <w:t>抓牢安全生产教育培训。</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局安委办</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局安委办各成员股室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5"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19</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color w:val="auto"/>
                <w:sz w:val="28"/>
                <w:szCs w:val="28"/>
                <w:lang w:val="en-US"/>
              </w:rPr>
              <w:t>提升应急救援处置能力。</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局安委办</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局安委办各成员股室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w:t>
            </w:r>
          </w:p>
        </w:tc>
        <w:tc>
          <w:tcPr>
            <w:tcW w:w="700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Cs/>
                <w:color w:val="auto"/>
                <w:sz w:val="28"/>
                <w:szCs w:val="28"/>
                <w:lang w:val="en-US"/>
              </w:rPr>
            </w:pPr>
            <w:r>
              <w:rPr>
                <w:rFonts w:hint="eastAsia" w:ascii="仿宋_GB2312" w:hAnsi="仿宋_GB2312" w:eastAsia="仿宋_GB2312" w:cs="仿宋_GB2312"/>
                <w:color w:val="000000"/>
                <w:kern w:val="0"/>
                <w:sz w:val="28"/>
                <w:szCs w:val="28"/>
                <w:shd w:val="clear" w:color="auto" w:fill="FFFFFF"/>
              </w:rPr>
              <w:t>加大监督执法力度。</w:t>
            </w:r>
          </w:p>
        </w:tc>
        <w:tc>
          <w:tcPr>
            <w:tcW w:w="227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局安委办</w:t>
            </w:r>
          </w:p>
        </w:tc>
        <w:tc>
          <w:tcPr>
            <w:tcW w:w="28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局安委办各成员股室</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AFB8C3-3DF2-4A83-A4B2-C4D4241D66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FA88A86-8CAD-4875-97B9-93096D20FD5F}"/>
  </w:font>
  <w:font w:name="楷体_GB2312">
    <w:panose1 w:val="02010609030101010101"/>
    <w:charset w:val="86"/>
    <w:family w:val="auto"/>
    <w:pitch w:val="default"/>
    <w:sig w:usb0="00000001" w:usb1="080E0000" w:usb2="00000000" w:usb3="00000000" w:csb0="00040000" w:csb1="00000000"/>
    <w:embedRegular r:id="rId3" w:fontKey="{FD554479-923C-4678-A212-D7F0AF4EB53D}"/>
  </w:font>
  <w:font w:name="方正小标宋简体">
    <w:panose1 w:val="02000000000000000000"/>
    <w:charset w:val="86"/>
    <w:family w:val="script"/>
    <w:pitch w:val="default"/>
    <w:sig w:usb0="00000001" w:usb1="08000000" w:usb2="00000000" w:usb3="00000000" w:csb0="00040000" w:csb1="00000000"/>
    <w:embedRegular r:id="rId4" w:fontKey="{63FE45EC-350F-410F-92BF-A46FD0B8F64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Y2NkYTA3MzkxMzYwZGRmMTY1NGI2YTlmZmMxNjMifQ=="/>
  </w:docVars>
  <w:rsids>
    <w:rsidRoot w:val="491E1996"/>
    <w:rsid w:val="0466617C"/>
    <w:rsid w:val="04FA5F8A"/>
    <w:rsid w:val="05D61E09"/>
    <w:rsid w:val="084C68E0"/>
    <w:rsid w:val="0B38056B"/>
    <w:rsid w:val="0F30513C"/>
    <w:rsid w:val="0F7D12BB"/>
    <w:rsid w:val="103C2486"/>
    <w:rsid w:val="11BE64D8"/>
    <w:rsid w:val="16030184"/>
    <w:rsid w:val="17935082"/>
    <w:rsid w:val="194F7AA2"/>
    <w:rsid w:val="1D6A2DFA"/>
    <w:rsid w:val="25276F15"/>
    <w:rsid w:val="25F17563"/>
    <w:rsid w:val="2838558B"/>
    <w:rsid w:val="31A203EF"/>
    <w:rsid w:val="31C205E6"/>
    <w:rsid w:val="32E459A5"/>
    <w:rsid w:val="353D13B4"/>
    <w:rsid w:val="390A3302"/>
    <w:rsid w:val="3A9E7428"/>
    <w:rsid w:val="3CC03E16"/>
    <w:rsid w:val="457052B2"/>
    <w:rsid w:val="4589019B"/>
    <w:rsid w:val="47FE3FC1"/>
    <w:rsid w:val="491E1996"/>
    <w:rsid w:val="4A711DB4"/>
    <w:rsid w:val="4C06606A"/>
    <w:rsid w:val="4CDD0FA8"/>
    <w:rsid w:val="55F52488"/>
    <w:rsid w:val="56651340"/>
    <w:rsid w:val="57F01967"/>
    <w:rsid w:val="59DE2095"/>
    <w:rsid w:val="5DF9063C"/>
    <w:rsid w:val="5EB44B9A"/>
    <w:rsid w:val="5ECC7AFE"/>
    <w:rsid w:val="5FCE5104"/>
    <w:rsid w:val="60680976"/>
    <w:rsid w:val="63BB0C26"/>
    <w:rsid w:val="64811712"/>
    <w:rsid w:val="6B653A79"/>
    <w:rsid w:val="742A583C"/>
    <w:rsid w:val="77887125"/>
    <w:rsid w:val="79B632F4"/>
    <w:rsid w:val="7A3A49BD"/>
    <w:rsid w:val="7C3E0643"/>
    <w:rsid w:val="7CF21591"/>
    <w:rsid w:val="7E786F03"/>
    <w:rsid w:val="7F2C7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Indent 2"/>
    <w:basedOn w:val="1"/>
    <w:next w:val="1"/>
    <w:qFormat/>
    <w:uiPriority w:val="0"/>
    <w:pPr>
      <w:widowControl/>
      <w:adjustRightInd w:val="0"/>
      <w:snapToGrid w:val="0"/>
      <w:spacing w:after="120" w:line="480" w:lineRule="auto"/>
      <w:ind w:left="420" w:leftChars="200" w:firstLine="883" w:firstLineChars="200"/>
      <w:textAlignment w:val="auto"/>
    </w:pPr>
    <w:rPr>
      <w:rFonts w:ascii="Times New Roman" w:hAnsi="Times New Roman" w:eastAsia="仿宋_GB2312" w:cs="Times New Roman"/>
      <w:color w:val="auto"/>
      <w:kern w:val="0"/>
      <w:sz w:val="32"/>
      <w:szCs w:val="24"/>
      <w:u w:val="none" w:color="auto"/>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522</Words>
  <Characters>536</Characters>
  <Lines>0</Lines>
  <Paragraphs>0</Paragraphs>
  <TotalTime>2</TotalTime>
  <ScaleCrop>false</ScaleCrop>
  <LinksUpToDate>false</LinksUpToDate>
  <CharactersWithSpaces>536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2022-03-30T00:53:00Z</dcterms:created>
  <dc:creator>万户网络</dc:creator>
  <cp:lastModifiedBy>一个人看小丸子 ε</cp:lastModifiedBy>
  <cp:lastPrinted>2023-03-28T07:34:00Z</cp:lastPrinted>
  <dcterms:modified xsi:type="dcterms:W3CDTF">2023-03-30T02:20:29Z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BA4447DCFF5846B6A51BD0DFFA9D55F4</vt:lpwstr>
  </property>
</Properties>
</file>