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0"/>
        <w:jc w:val="center"/>
        <w:textAlignment w:val="auto"/>
        <w:rPr>
          <w:rFonts w:hint="eastAsia" w:ascii="仿宋_GB2312" w:hAnsi="仿宋_GB2312" w:eastAsia="仿宋_GB2312" w:cs="仿宋_GB2312"/>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0"/>
        <w:jc w:val="center"/>
        <w:textAlignment w:val="auto"/>
        <w:rPr>
          <w:rFonts w:hint="eastAsia" w:ascii="仿宋_GB2312" w:hAnsi="仿宋_GB2312" w:eastAsia="仿宋_GB2312" w:cs="仿宋_GB2312"/>
          <w:sz w:val="32"/>
          <w:szCs w:val="32"/>
        </w:rPr>
      </w:pPr>
    </w:p>
    <w:p>
      <w:pPr>
        <w:keepNext w:val="0"/>
        <w:keepLines w:val="0"/>
        <w:pageBreakBefore w:val="0"/>
        <w:widowControl/>
        <w:pBdr>
          <w:top w:val="none" w:color="auto" w:sz="0" w:space="1"/>
          <w:left w:val="none" w:color="auto" w:sz="0" w:space="4"/>
          <w:bottom w:val="none" w:color="auto" w:sz="0" w:space="1"/>
          <w:right w:val="none" w:color="auto" w:sz="0" w:space="4"/>
        </w:pBdr>
        <w:shd w:val="clear"/>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 w:hAnsi="仿宋" w:eastAsia="仿宋" w:cs="宋体"/>
          <w:b w:val="0"/>
          <w:bCs/>
          <w:color w:val="auto"/>
          <w:spacing w:val="0"/>
          <w:w w:val="100"/>
          <w:kern w:val="0"/>
          <w:position w:val="0"/>
          <w:sz w:val="32"/>
          <w:szCs w:val="32"/>
          <w:shd w:val="clear"/>
          <w:lang w:eastAsia="zh-CN" w:bidi="ar-SA"/>
        </w:rPr>
      </w:pPr>
    </w:p>
    <w:p>
      <w:pPr>
        <w:keepNext w:val="0"/>
        <w:keepLines w:val="0"/>
        <w:pageBreakBefore w:val="0"/>
        <w:widowControl/>
        <w:pBdr>
          <w:top w:val="none" w:color="auto" w:sz="0" w:space="1"/>
          <w:left w:val="none" w:color="auto" w:sz="0" w:space="4"/>
          <w:bottom w:val="none" w:color="auto" w:sz="0" w:space="1"/>
          <w:right w:val="none" w:color="auto" w:sz="0" w:space="4"/>
        </w:pBdr>
        <w:shd w:val="clear"/>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 w:hAnsi="仿宋" w:eastAsia="仿宋" w:cs="宋体"/>
          <w:b w:val="0"/>
          <w:bCs/>
          <w:color w:val="auto"/>
          <w:spacing w:val="0"/>
          <w:w w:val="100"/>
          <w:kern w:val="0"/>
          <w:position w:val="0"/>
          <w:sz w:val="32"/>
          <w:szCs w:val="32"/>
          <w:shd w:val="clear"/>
          <w:lang w:eastAsia="zh-CN" w:bidi="ar-SA"/>
        </w:rPr>
      </w:pPr>
    </w:p>
    <w:p>
      <w:pPr>
        <w:keepNext w:val="0"/>
        <w:keepLines w:val="0"/>
        <w:pageBreakBefore w:val="0"/>
        <w:widowControl/>
        <w:pBdr>
          <w:top w:val="none" w:color="auto" w:sz="0" w:space="1"/>
          <w:left w:val="none" w:color="auto" w:sz="0" w:space="4"/>
          <w:bottom w:val="none" w:color="auto" w:sz="0" w:space="1"/>
          <w:right w:val="none" w:color="auto" w:sz="0" w:space="4"/>
        </w:pBdr>
        <w:shd w:val="clear"/>
        <w:kinsoku/>
        <w:wordWrap/>
        <w:overflowPunct/>
        <w:topLinePunct w:val="0"/>
        <w:autoSpaceDE/>
        <w:autoSpaceDN/>
        <w:bidi w:val="0"/>
        <w:adjustRightInd/>
        <w:snapToGrid/>
        <w:spacing w:before="0" w:after="0" w:line="560" w:lineRule="exact"/>
        <w:ind w:left="0" w:right="0" w:firstLine="0"/>
        <w:jc w:val="both"/>
        <w:textAlignment w:val="auto"/>
        <w:rPr>
          <w:rFonts w:hint="eastAsia" w:ascii="仿宋" w:hAnsi="仿宋" w:eastAsia="仿宋" w:cs="宋体"/>
          <w:b w:val="0"/>
          <w:bCs/>
          <w:color w:val="auto"/>
          <w:spacing w:val="0"/>
          <w:w w:val="100"/>
          <w:kern w:val="0"/>
          <w:position w:val="0"/>
          <w:sz w:val="32"/>
          <w:szCs w:val="32"/>
          <w:shd w:val="clear"/>
          <w:lang w:eastAsia="zh-CN" w:bidi="ar-SA"/>
        </w:rPr>
      </w:pPr>
    </w:p>
    <w:p>
      <w:pPr>
        <w:keepNext w:val="0"/>
        <w:keepLines w:val="0"/>
        <w:pageBreakBefore w:val="0"/>
        <w:widowControl/>
        <w:pBdr>
          <w:top w:val="none" w:color="auto" w:sz="0" w:space="1"/>
          <w:left w:val="none" w:color="auto" w:sz="0" w:space="4"/>
          <w:bottom w:val="none" w:color="auto" w:sz="0" w:space="1"/>
          <w:right w:val="none" w:color="auto" w:sz="0" w:space="4"/>
        </w:pBdr>
        <w:shd w:val="clear"/>
        <w:kinsoku/>
        <w:wordWrap/>
        <w:overflowPunct/>
        <w:topLinePunct w:val="0"/>
        <w:autoSpaceDE/>
        <w:autoSpaceDN/>
        <w:bidi w:val="0"/>
        <w:adjustRightInd/>
        <w:snapToGrid/>
        <w:spacing w:before="0" w:after="0" w:line="560" w:lineRule="exact"/>
        <w:ind w:left="0" w:right="0" w:firstLine="0"/>
        <w:jc w:val="center"/>
        <w:textAlignment w:val="auto"/>
        <w:rPr>
          <w:rFonts w:hint="eastAsia" w:ascii="宋体" w:hAnsi="宋体" w:eastAsia="宋体" w:cs="宋体"/>
          <w:b/>
          <w:bCs/>
          <w:color w:val="000000"/>
          <w:kern w:val="0"/>
          <w:sz w:val="44"/>
          <w:szCs w:val="44"/>
          <w:lang w:val="en-US" w:eastAsia="zh-CN" w:bidi="ar"/>
        </w:rPr>
      </w:pPr>
      <w:r>
        <w:rPr>
          <w:rFonts w:hint="eastAsia" w:ascii="仿宋" w:hAnsi="仿宋" w:eastAsia="仿宋" w:cs="宋体"/>
          <w:b w:val="0"/>
          <w:bCs/>
          <w:color w:val="auto"/>
          <w:spacing w:val="0"/>
          <w:w w:val="100"/>
          <w:kern w:val="0"/>
          <w:position w:val="0"/>
          <w:sz w:val="32"/>
          <w:szCs w:val="32"/>
          <w:shd w:val="clear"/>
          <w:lang w:eastAsia="zh-CN" w:bidi="ar-SA"/>
        </w:rPr>
        <w:t>祁住建〔202</w:t>
      </w:r>
      <w:r>
        <w:rPr>
          <w:rFonts w:hint="eastAsia" w:ascii="仿宋" w:hAnsi="仿宋" w:eastAsia="仿宋" w:cs="宋体"/>
          <w:b w:val="0"/>
          <w:bCs/>
          <w:color w:val="auto"/>
          <w:spacing w:val="0"/>
          <w:w w:val="100"/>
          <w:kern w:val="0"/>
          <w:position w:val="0"/>
          <w:sz w:val="32"/>
          <w:szCs w:val="32"/>
          <w:shd w:val="clear"/>
          <w:lang w:val="en-US" w:eastAsia="zh-CN" w:bidi="ar-SA"/>
        </w:rPr>
        <w:t>3</w:t>
      </w:r>
      <w:r>
        <w:rPr>
          <w:rFonts w:hint="eastAsia" w:ascii="仿宋" w:hAnsi="仿宋" w:eastAsia="仿宋" w:cs="宋体"/>
          <w:b w:val="0"/>
          <w:bCs/>
          <w:color w:val="auto"/>
          <w:spacing w:val="0"/>
          <w:w w:val="100"/>
          <w:kern w:val="0"/>
          <w:position w:val="0"/>
          <w:sz w:val="32"/>
          <w:szCs w:val="32"/>
          <w:shd w:val="clear"/>
          <w:lang w:eastAsia="zh-CN" w:bidi="ar-SA"/>
        </w:rPr>
        <w:t>〕</w:t>
      </w:r>
      <w:r>
        <w:rPr>
          <w:rFonts w:hint="eastAsia" w:ascii="仿宋" w:hAnsi="仿宋" w:eastAsia="仿宋" w:cs="宋体"/>
          <w:b w:val="0"/>
          <w:bCs/>
          <w:color w:val="auto"/>
          <w:spacing w:val="0"/>
          <w:w w:val="100"/>
          <w:kern w:val="0"/>
          <w:position w:val="0"/>
          <w:sz w:val="32"/>
          <w:szCs w:val="32"/>
          <w:shd w:val="clear"/>
          <w:lang w:val="en-US" w:eastAsia="zh-CN" w:bidi="ar-SA"/>
        </w:rPr>
        <w:t>23</w:t>
      </w:r>
      <w:r>
        <w:rPr>
          <w:rFonts w:hint="eastAsia" w:ascii="仿宋" w:hAnsi="仿宋" w:eastAsia="仿宋" w:cs="宋体"/>
          <w:b w:val="0"/>
          <w:bCs/>
          <w:color w:val="auto"/>
          <w:spacing w:val="0"/>
          <w:w w:val="100"/>
          <w:kern w:val="0"/>
          <w:position w:val="0"/>
          <w:sz w:val="32"/>
          <w:szCs w:val="32"/>
          <w:shd w:val="clear"/>
          <w:lang w:eastAsia="zh-CN" w:bidi="ar-SA"/>
        </w:rPr>
        <w:t>号</w:t>
      </w:r>
    </w:p>
    <w:p>
      <w:pPr>
        <w:keepNext w:val="0"/>
        <w:keepLines w:val="0"/>
        <w:widowControl/>
        <w:suppressLineNumbers w:val="0"/>
        <w:jc w:val="center"/>
        <w:rPr>
          <w:rFonts w:hint="eastAsia" w:ascii="宋体" w:hAnsi="宋体" w:eastAsia="宋体" w:cs="宋体"/>
          <w:b/>
          <w:bCs/>
          <w:color w:val="000000"/>
          <w:kern w:val="0"/>
          <w:sz w:val="44"/>
          <w:szCs w:val="44"/>
          <w:lang w:val="en-US" w:eastAsia="zh-CN" w:bidi="ar"/>
        </w:rPr>
      </w:pPr>
    </w:p>
    <w:p>
      <w:pPr>
        <w:keepNext w:val="0"/>
        <w:keepLines w:val="0"/>
        <w:widowControl/>
        <w:suppressLineNumbers w:val="0"/>
        <w:jc w:val="center"/>
        <w:rPr>
          <w:rFonts w:hint="eastAsia" w:ascii="宋体" w:hAnsi="宋体" w:eastAsia="宋体" w:cs="宋体"/>
          <w:b/>
          <w:bCs/>
          <w:sz w:val="44"/>
          <w:szCs w:val="44"/>
        </w:rPr>
      </w:pPr>
      <w:r>
        <w:rPr>
          <w:rFonts w:hint="eastAsia" w:ascii="宋体" w:hAnsi="宋体" w:eastAsia="宋体" w:cs="宋体"/>
          <w:b/>
          <w:bCs/>
          <w:color w:val="000000"/>
          <w:kern w:val="0"/>
          <w:sz w:val="44"/>
          <w:szCs w:val="44"/>
          <w:lang w:val="en-US" w:eastAsia="zh-CN" w:bidi="ar"/>
        </w:rPr>
        <w:t>关于印发《祁门县住建系统2023年</w:t>
      </w:r>
    </w:p>
    <w:p>
      <w:pPr>
        <w:keepNext w:val="0"/>
        <w:keepLines w:val="0"/>
        <w:widowControl/>
        <w:suppressLineNumbers w:val="0"/>
        <w:jc w:val="center"/>
        <w:rPr>
          <w:rFonts w:hint="eastAsia" w:ascii="宋体" w:hAnsi="宋体" w:eastAsia="宋体" w:cs="宋体"/>
          <w:b/>
          <w:bCs/>
          <w:color w:val="000000"/>
          <w:kern w:val="0"/>
          <w:sz w:val="44"/>
          <w:szCs w:val="44"/>
          <w:lang w:val="en-US" w:eastAsia="zh-CN" w:bidi="ar"/>
        </w:rPr>
      </w:pPr>
      <w:r>
        <w:rPr>
          <w:rFonts w:hint="eastAsia" w:ascii="宋体" w:hAnsi="宋体" w:eastAsia="宋体" w:cs="宋体"/>
          <w:b/>
          <w:bCs/>
          <w:color w:val="000000"/>
          <w:kern w:val="0"/>
          <w:sz w:val="44"/>
          <w:szCs w:val="44"/>
          <w:lang w:val="en-US" w:eastAsia="zh-CN" w:bidi="ar"/>
        </w:rPr>
        <w:t>安全生产工作要点》的通知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center"/>
        <w:textAlignment w:val="auto"/>
        <w:outlineLvl w:val="9"/>
        <w:rPr>
          <w:rFonts w:hint="eastAsia" w:ascii="宋体" w:hAnsi="宋体" w:eastAsia="宋体" w:cs="宋体"/>
          <w:b/>
          <w:bCs/>
          <w:color w:val="000000"/>
          <w:kern w:val="0"/>
          <w:sz w:val="32"/>
          <w:szCs w:val="32"/>
          <w:lang w:val="en-US" w:eastAsia="zh-CN" w:bidi="ar"/>
        </w:rPr>
      </w:pPr>
    </w:p>
    <w:p>
      <w:pPr>
        <w:pStyle w:val="5"/>
        <w:keepNext w:val="0"/>
        <w:keepLines w:val="0"/>
        <w:pageBreakBefore w:val="0"/>
        <w:widowControl/>
        <w:suppressLineNumbers w:val="0"/>
        <w:kinsoku/>
        <w:wordWrap/>
        <w:overflowPunct/>
        <w:topLinePunct w:val="0"/>
        <w:autoSpaceDE/>
        <w:autoSpaceDN/>
        <w:bidi w:val="0"/>
        <w:adjustRightInd/>
        <w:snapToGrid/>
        <w:spacing w:line="540" w:lineRule="exact"/>
        <w:textAlignment w:val="auto"/>
        <w:outlineLvl w:val="9"/>
        <w:rPr>
          <w:rFonts w:hint="eastAsia" w:eastAsia="仿宋_GB2312"/>
          <w:sz w:val="32"/>
          <w:szCs w:val="32"/>
          <w:lang w:eastAsia="zh-CN"/>
        </w:rPr>
      </w:pPr>
      <w:r>
        <w:rPr>
          <w:rFonts w:hint="default" w:ascii="仿宋_GB2312" w:eastAsia="仿宋_GB2312" w:cs="仿宋_GB2312"/>
          <w:color w:val="000000"/>
          <w:sz w:val="32"/>
          <w:szCs w:val="32"/>
        </w:rPr>
        <w:t>机关各</w:t>
      </w:r>
      <w:r>
        <w:rPr>
          <w:rFonts w:hint="eastAsia" w:ascii="仿宋_GB2312" w:eastAsia="仿宋_GB2312" w:cs="仿宋_GB2312"/>
          <w:color w:val="000000"/>
          <w:sz w:val="32"/>
          <w:szCs w:val="32"/>
          <w:lang w:eastAsia="zh-CN"/>
        </w:rPr>
        <w:t>股</w:t>
      </w:r>
      <w:r>
        <w:rPr>
          <w:rFonts w:hint="default" w:ascii="仿宋_GB2312" w:eastAsia="仿宋_GB2312" w:cs="仿宋_GB2312"/>
          <w:color w:val="000000"/>
          <w:sz w:val="32"/>
          <w:szCs w:val="32"/>
        </w:rPr>
        <w:t>室</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lang w:val="en-US" w:eastAsia="zh-CN"/>
        </w:rPr>
        <w:t>站</w:t>
      </w:r>
      <w:r>
        <w:rPr>
          <w:rFonts w:hint="eastAsia" w:ascii="仿宋_GB2312" w:eastAsia="仿宋_GB2312" w:cs="仿宋_GB2312"/>
          <w:color w:val="000000"/>
          <w:sz w:val="32"/>
          <w:szCs w:val="32"/>
          <w:lang w:eastAsia="zh-CN"/>
        </w:rPr>
        <w:t>）</w:t>
      </w:r>
      <w:r>
        <w:rPr>
          <w:rFonts w:hint="default" w:ascii="仿宋_GB2312" w:eastAsia="仿宋_GB2312" w:cs="仿宋_GB2312"/>
          <w:color w:val="000000"/>
          <w:sz w:val="32"/>
          <w:szCs w:val="32"/>
        </w:rPr>
        <w:t>、局属各单位</w:t>
      </w:r>
      <w:r>
        <w:rPr>
          <w:rFonts w:hint="eastAsia" w:ascii="仿宋_GB2312" w:eastAsia="仿宋_GB2312" w:cs="仿宋_GB2312"/>
          <w:color w:val="000000"/>
          <w:sz w:val="32"/>
          <w:szCs w:val="32"/>
          <w:lang w:eastAsia="zh-CN"/>
        </w:rPr>
        <w:t>：</w:t>
      </w:r>
      <w:bookmarkStart w:id="0" w:name="_GoBack"/>
      <w:bookmarkEnd w:id="0"/>
    </w:p>
    <w:p>
      <w:pPr>
        <w:pStyle w:val="5"/>
        <w:keepNext w:val="0"/>
        <w:keepLines w:val="0"/>
        <w:pageBreakBefore w:val="0"/>
        <w:widowControl/>
        <w:suppressLineNumbers w:val="0"/>
        <w:kinsoku/>
        <w:wordWrap/>
        <w:overflowPunct/>
        <w:topLinePunct w:val="0"/>
        <w:autoSpaceDE/>
        <w:autoSpaceDN/>
        <w:bidi w:val="0"/>
        <w:adjustRightInd/>
        <w:snapToGrid/>
        <w:spacing w:line="540" w:lineRule="exact"/>
        <w:ind w:left="0" w:firstLine="640" w:firstLineChars="200"/>
        <w:textAlignment w:val="auto"/>
        <w:outlineLvl w:val="9"/>
        <w:rPr>
          <w:rFonts w:hint="default" w:ascii="仿宋_GB2312" w:eastAsia="仿宋_GB2312" w:cs="仿宋_GB2312"/>
          <w:color w:val="000000"/>
          <w:sz w:val="32"/>
          <w:szCs w:val="32"/>
        </w:rPr>
      </w:pPr>
      <w:r>
        <w:rPr>
          <w:rFonts w:hint="eastAsia" w:ascii="仿宋_GB2312" w:eastAsia="仿宋_GB2312" w:cs="仿宋_GB2312"/>
          <w:color w:val="000000"/>
          <w:sz w:val="32"/>
          <w:szCs w:val="32"/>
          <w:lang w:val="en-US" w:eastAsia="zh-CN"/>
        </w:rPr>
        <w:t>根据市住建局</w:t>
      </w:r>
      <w:r>
        <w:rPr>
          <w:rFonts w:hint="default" w:ascii="仿宋_GB2312" w:eastAsia="仿宋_GB2312" w:cs="仿宋_GB2312"/>
          <w:color w:val="000000"/>
          <w:sz w:val="32"/>
          <w:szCs w:val="32"/>
        </w:rPr>
        <w:t>《</w:t>
      </w:r>
      <w:r>
        <w:rPr>
          <w:rFonts w:hint="default" w:ascii="仿宋_GB2312" w:eastAsia="仿宋_GB2312" w:cs="仿宋_GB2312"/>
          <w:color w:val="000000"/>
          <w:sz w:val="32"/>
          <w:szCs w:val="32"/>
          <w:lang w:val="en-US" w:eastAsia="zh-CN"/>
        </w:rPr>
        <w:t>黄山市住建系统2023年安全生产工作要点</w:t>
      </w:r>
      <w:r>
        <w:rPr>
          <w:rFonts w:hint="default" w:ascii="仿宋_GB2312" w:eastAsia="仿宋_GB2312" w:cs="仿宋_GB2312"/>
          <w:color w:val="000000"/>
          <w:sz w:val="32"/>
          <w:szCs w:val="32"/>
        </w:rPr>
        <w:t>》，</w:t>
      </w:r>
      <w:r>
        <w:rPr>
          <w:rFonts w:hint="eastAsia" w:ascii="仿宋_GB2312" w:eastAsia="仿宋_GB2312" w:cs="仿宋_GB2312"/>
          <w:color w:val="000000"/>
          <w:sz w:val="32"/>
          <w:szCs w:val="32"/>
          <w:lang w:eastAsia="zh-CN"/>
        </w:rPr>
        <w:t>现</w:t>
      </w:r>
      <w:r>
        <w:rPr>
          <w:rFonts w:hint="default" w:ascii="仿宋_GB2312" w:eastAsia="仿宋_GB2312" w:cs="仿宋_GB2312"/>
          <w:color w:val="000000"/>
          <w:sz w:val="32"/>
          <w:szCs w:val="32"/>
        </w:rPr>
        <w:t>制定《</w:t>
      </w:r>
      <w:r>
        <w:rPr>
          <w:rFonts w:hint="eastAsia" w:ascii="仿宋_GB2312" w:eastAsia="仿宋_GB2312" w:cs="仿宋_GB2312"/>
          <w:color w:val="000000"/>
          <w:sz w:val="32"/>
          <w:szCs w:val="32"/>
          <w:lang w:val="en-US" w:eastAsia="zh-CN"/>
        </w:rPr>
        <w:t>祁门县</w:t>
      </w:r>
      <w:r>
        <w:rPr>
          <w:rFonts w:hint="default" w:ascii="仿宋_GB2312" w:eastAsia="仿宋_GB2312" w:cs="仿宋_GB2312"/>
          <w:color w:val="000000"/>
          <w:sz w:val="32"/>
          <w:szCs w:val="32"/>
        </w:rPr>
        <w:t>住建系统2023年安全生产工作要点》，现印发给你们，请结合实际，加强组织领导，认真履行职责，层层压实责任，确保我</w:t>
      </w:r>
      <w:r>
        <w:rPr>
          <w:rFonts w:hint="eastAsia" w:ascii="仿宋_GB2312" w:eastAsia="仿宋_GB2312" w:cs="仿宋_GB2312"/>
          <w:color w:val="000000"/>
          <w:sz w:val="32"/>
          <w:szCs w:val="32"/>
          <w:lang w:val="en-US" w:eastAsia="zh-CN"/>
        </w:rPr>
        <w:t>县</w:t>
      </w:r>
      <w:r>
        <w:rPr>
          <w:rFonts w:hint="default" w:ascii="仿宋_GB2312" w:eastAsia="仿宋_GB2312" w:cs="仿宋_GB2312"/>
          <w:color w:val="000000"/>
          <w:sz w:val="32"/>
          <w:szCs w:val="32"/>
        </w:rPr>
        <w:t>住建系统安全生产工作落到实处。</w:t>
      </w:r>
    </w:p>
    <w:p>
      <w:pPr>
        <w:pStyle w:val="5"/>
        <w:keepNext w:val="0"/>
        <w:keepLines w:val="0"/>
        <w:pageBreakBefore w:val="0"/>
        <w:widowControl/>
        <w:suppressLineNumbers w:val="0"/>
        <w:kinsoku/>
        <w:wordWrap/>
        <w:overflowPunct/>
        <w:topLinePunct w:val="0"/>
        <w:autoSpaceDE/>
        <w:autoSpaceDN/>
        <w:bidi w:val="0"/>
        <w:adjustRightInd/>
        <w:snapToGrid/>
        <w:spacing w:line="540" w:lineRule="exact"/>
        <w:ind w:left="0" w:firstLine="640" w:firstLineChars="200"/>
        <w:textAlignment w:val="auto"/>
        <w:outlineLvl w:val="9"/>
        <w:rPr>
          <w:rFonts w:hint="default" w:ascii="仿宋_GB2312" w:eastAsia="仿宋_GB2312" w:cs="仿宋_GB2312"/>
          <w:color w:val="000000"/>
          <w:sz w:val="32"/>
          <w:szCs w:val="32"/>
        </w:rPr>
      </w:pP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outlineLvl w:val="9"/>
        <w:rPr>
          <w:sz w:val="32"/>
          <w:szCs w:val="32"/>
        </w:rPr>
      </w:pPr>
      <w:r>
        <w:rPr>
          <w:rFonts w:hint="default" w:ascii="仿宋_GB2312" w:hAnsi="宋体" w:eastAsia="仿宋_GB2312" w:cs="仿宋_GB2312"/>
          <w:color w:val="000000"/>
          <w:kern w:val="0"/>
          <w:sz w:val="32"/>
          <w:szCs w:val="32"/>
          <w:lang w:val="en-US" w:eastAsia="zh-CN" w:bidi="ar"/>
        </w:rPr>
        <w:t>附件</w:t>
      </w:r>
      <w:r>
        <w:rPr>
          <w:rFonts w:hint="eastAsia" w:ascii="仿宋_GB2312" w:hAnsi="宋体" w:eastAsia="仿宋_GB2312" w:cs="仿宋_GB2312"/>
          <w:color w:val="000000"/>
          <w:kern w:val="0"/>
          <w:sz w:val="32"/>
          <w:szCs w:val="32"/>
          <w:lang w:val="en-US" w:eastAsia="zh-CN" w:bidi="ar"/>
        </w:rPr>
        <w:t xml:space="preserve"> </w:t>
      </w:r>
      <w:r>
        <w:rPr>
          <w:rFonts w:hint="default" w:ascii="仿宋_GB2312" w:hAnsi="宋体" w:eastAsia="仿宋_GB2312" w:cs="仿宋_GB2312"/>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祁门县</w:t>
      </w:r>
      <w:r>
        <w:rPr>
          <w:rFonts w:hint="default" w:ascii="仿宋_GB2312" w:hAnsi="宋体" w:eastAsia="仿宋_GB2312" w:cs="仿宋_GB2312"/>
          <w:color w:val="000000"/>
          <w:kern w:val="0"/>
          <w:sz w:val="32"/>
          <w:szCs w:val="32"/>
          <w:lang w:val="en-US" w:eastAsia="zh-CN" w:bidi="ar"/>
        </w:rPr>
        <w:t>住建系统2023年安全生产工作要点</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1440" w:firstLineChars="500"/>
        <w:jc w:val="both"/>
        <w:textAlignment w:val="auto"/>
        <w:outlineLvl w:val="9"/>
        <w:rPr>
          <w:rFonts w:hint="default" w:ascii="仿宋_GB2312" w:eastAsia="仿宋_GB2312" w:cs="仿宋_GB2312"/>
          <w:color w:val="000000"/>
          <w:w w:val="90"/>
          <w:sz w:val="32"/>
          <w:szCs w:val="32"/>
        </w:rPr>
      </w:pPr>
      <w:r>
        <w:rPr>
          <w:rFonts w:hint="default" w:ascii="仿宋_GB2312" w:hAnsi="宋体" w:eastAsia="仿宋_GB2312" w:cs="仿宋_GB2312"/>
          <w:color w:val="000000"/>
          <w:w w:val="90"/>
          <w:kern w:val="0"/>
          <w:sz w:val="32"/>
          <w:szCs w:val="32"/>
          <w:lang w:val="en-US" w:eastAsia="zh-CN" w:bidi="ar"/>
        </w:rPr>
        <w:t>2：</w:t>
      </w:r>
      <w:r>
        <w:rPr>
          <w:rFonts w:hint="eastAsia" w:ascii="仿宋_GB2312" w:hAnsi="宋体" w:eastAsia="仿宋_GB2312" w:cs="仿宋_GB2312"/>
          <w:color w:val="000000"/>
          <w:w w:val="90"/>
          <w:kern w:val="0"/>
          <w:sz w:val="32"/>
          <w:szCs w:val="32"/>
          <w:lang w:val="en-US" w:eastAsia="zh-CN" w:bidi="ar"/>
        </w:rPr>
        <w:t>祁门县</w:t>
      </w:r>
      <w:r>
        <w:rPr>
          <w:rFonts w:hint="default" w:ascii="仿宋_GB2312" w:hAnsi="宋体" w:eastAsia="仿宋_GB2312" w:cs="仿宋_GB2312"/>
          <w:color w:val="000000"/>
          <w:w w:val="90"/>
          <w:kern w:val="0"/>
          <w:sz w:val="32"/>
          <w:szCs w:val="32"/>
          <w:lang w:val="en-US" w:eastAsia="zh-CN" w:bidi="ar"/>
        </w:rPr>
        <w:t>住建系统2023年安全生产工作要点任务分解</w:t>
      </w:r>
      <w:r>
        <w:rPr>
          <w:rFonts w:hint="default" w:ascii="仿宋_GB2312" w:eastAsia="仿宋_GB2312" w:cs="仿宋_GB2312"/>
          <w:color w:val="000000"/>
          <w:w w:val="90"/>
          <w:sz w:val="32"/>
          <w:szCs w:val="32"/>
        </w:rPr>
        <w:t>方案</w:t>
      </w:r>
    </w:p>
    <w:p>
      <w:pPr>
        <w:pStyle w:val="5"/>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textAlignment w:val="auto"/>
        <w:outlineLvl w:val="9"/>
        <w:rPr>
          <w:rFonts w:hint="default" w:ascii="仿宋_GB2312" w:eastAsia="仿宋_GB2312" w:cs="仿宋_GB2312"/>
          <w:color w:val="00000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center"/>
        <w:textAlignment w:val="auto"/>
        <w:outlineLvl w:val="9"/>
        <w:rPr>
          <w:rFonts w:hint="default"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val="en-US" w:eastAsia="zh-CN"/>
        </w:rPr>
        <w:t xml:space="preserve">                            2023年3月28日</w:t>
      </w:r>
    </w:p>
    <w:p>
      <w:pPr>
        <w:pStyle w:val="5"/>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textAlignment w:val="auto"/>
        <w:outlineLvl w:val="9"/>
        <w:rPr>
          <w:rFonts w:hint="default" w:ascii="仿宋_GB2312" w:eastAsia="仿宋_GB2312" w:cs="仿宋_GB2312"/>
          <w:color w:val="00000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line="540" w:lineRule="exact"/>
        <w:textAlignment w:val="auto"/>
        <w:outlineLvl w:val="9"/>
        <w:rPr>
          <w:rFonts w:hint="eastAsia" w:ascii="仿宋_GB2312" w:eastAsia="仿宋_GB2312" w:cs="仿宋_GB2312"/>
          <w:color w:val="000000"/>
          <w:sz w:val="32"/>
          <w:szCs w:val="32"/>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line="540" w:lineRule="exact"/>
        <w:textAlignment w:val="auto"/>
        <w:outlineLvl w:val="9"/>
        <w:rPr>
          <w:rFonts w:hint="eastAsia" w:ascii="方正小标宋简体" w:hAnsi="Times New Roman" w:eastAsia="方正小标宋简体" w:cs="Times New Roman"/>
          <w:b w:val="0"/>
          <w:bCs w:val="0"/>
          <w:sz w:val="44"/>
          <w:szCs w:val="44"/>
          <w:lang w:val="en-US" w:eastAsia="zh-CN"/>
        </w:rPr>
      </w:pPr>
      <w:r>
        <w:rPr>
          <w:rFonts w:hint="eastAsia" w:ascii="仿宋_GB2312" w:eastAsia="仿宋_GB2312" w:cs="仿宋_GB2312"/>
          <w:color w:val="000000"/>
          <w:sz w:val="32"/>
          <w:szCs w:val="32"/>
          <w:lang w:eastAsia="zh-CN"/>
        </w:rPr>
        <w:t>抄送：</w:t>
      </w:r>
      <w:r>
        <w:rPr>
          <w:rFonts w:hint="default" w:ascii="仿宋_GB2312" w:eastAsia="仿宋_GB2312" w:cs="仿宋_GB2312"/>
          <w:color w:val="000000"/>
          <w:sz w:val="32"/>
          <w:szCs w:val="32"/>
        </w:rPr>
        <w:t>各</w:t>
      </w:r>
      <w:r>
        <w:rPr>
          <w:rFonts w:hint="eastAsia" w:ascii="仿宋_GB2312" w:eastAsia="仿宋_GB2312" w:cs="仿宋_GB2312"/>
          <w:color w:val="000000"/>
          <w:sz w:val="32"/>
          <w:szCs w:val="32"/>
          <w:lang w:val="en-US" w:eastAsia="zh-CN"/>
        </w:rPr>
        <w:t>建设、施工、监理单位。</w:t>
      </w:r>
    </w:p>
    <w:p>
      <w:pPr>
        <w:keepNext w:val="0"/>
        <w:keepLines w:val="0"/>
        <w:pageBreakBefore w:val="0"/>
        <w:kinsoku/>
        <w:wordWrap/>
        <w:overflowPunct/>
        <w:topLinePunct w:val="0"/>
        <w:autoSpaceDN/>
        <w:bidi w:val="0"/>
        <w:adjustRightInd/>
        <w:spacing w:line="540" w:lineRule="exact"/>
        <w:jc w:val="center"/>
        <w:textAlignment w:val="auto"/>
        <w:rPr>
          <w:rFonts w:hint="eastAsia" w:eastAsia="方正小标宋简体"/>
          <w:b w:val="0"/>
          <w:bCs w:val="0"/>
          <w:lang w:eastAsia="zh-CN"/>
        </w:rPr>
      </w:pPr>
      <w:r>
        <w:rPr>
          <w:rFonts w:hint="eastAsia" w:ascii="方正小标宋简体" w:hAnsi="Times New Roman" w:eastAsia="方正小标宋简体" w:cs="Times New Roman"/>
          <w:b w:val="0"/>
          <w:bCs w:val="0"/>
          <w:sz w:val="44"/>
          <w:szCs w:val="44"/>
          <w:lang w:val="en-US" w:eastAsia="zh-CN"/>
        </w:rPr>
        <w:t>祁门县</w:t>
      </w:r>
      <w:r>
        <w:rPr>
          <w:rFonts w:hint="eastAsia" w:ascii="方正小标宋简体" w:hAnsi="Times New Roman" w:eastAsia="方正小标宋简体" w:cs="Times New Roman"/>
          <w:b w:val="0"/>
          <w:bCs w:val="0"/>
          <w:sz w:val="44"/>
          <w:szCs w:val="44"/>
        </w:rPr>
        <w:t>住建系统2023年安全生产工作要点</w:t>
      </w:r>
    </w:p>
    <w:p>
      <w:pPr>
        <w:keepNext w:val="0"/>
        <w:keepLines w:val="0"/>
        <w:pageBreakBefore w:val="0"/>
        <w:kinsoku/>
        <w:wordWrap/>
        <w:overflowPunct/>
        <w:topLinePunct w:val="0"/>
        <w:autoSpaceDN/>
        <w:bidi w:val="0"/>
        <w:adjustRightInd/>
        <w:spacing w:line="540" w:lineRule="exact"/>
        <w:jc w:val="center"/>
        <w:textAlignment w:val="auto"/>
        <w:rPr>
          <w:rFonts w:ascii="方正小标宋简体" w:hAnsi="Times New Roman" w:eastAsia="方正小标宋简体" w:cs="Times New Roman"/>
          <w:sz w:val="44"/>
          <w:szCs w:val="44"/>
        </w:rPr>
      </w:pPr>
    </w:p>
    <w:p>
      <w:pPr>
        <w:keepNext w:val="0"/>
        <w:keepLines w:val="0"/>
        <w:pageBreakBefore w:val="0"/>
        <w:kinsoku/>
        <w:wordWrap/>
        <w:overflowPunct/>
        <w:topLinePunct w:val="0"/>
        <w:autoSpaceDN/>
        <w:bidi w:val="0"/>
        <w:adjustRightInd/>
        <w:snapToGrid w:val="0"/>
        <w:spacing w:line="540" w:lineRule="exac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eastAsia="仿宋_GB2312"/>
          <w:bCs/>
          <w:sz w:val="32"/>
          <w:szCs w:val="32"/>
        </w:rPr>
        <w:t>坚持以习近平新时代中国特色社会主义思想为指引，</w:t>
      </w:r>
      <w:r>
        <w:rPr>
          <w:rFonts w:hint="eastAsia" w:ascii="仿宋_GB2312" w:hAnsi="仿宋_GB2312" w:eastAsia="仿宋_GB2312" w:cs="仿宋_GB2312"/>
          <w:color w:val="000000"/>
          <w:kern w:val="0"/>
          <w:sz w:val="32"/>
          <w:szCs w:val="32"/>
          <w:shd w:val="clear" w:color="auto" w:fill="FFFFFF"/>
        </w:rPr>
        <w:t>深入贯彻落实</w:t>
      </w:r>
      <w:r>
        <w:rPr>
          <w:rFonts w:hint="eastAsia" w:ascii="仿宋_GB2312" w:eastAsia="仿宋_GB2312"/>
          <w:bCs/>
          <w:sz w:val="32"/>
          <w:szCs w:val="32"/>
        </w:rPr>
        <w:t>党的二十大精神</w:t>
      </w:r>
      <w:r>
        <w:rPr>
          <w:rFonts w:hint="eastAsia" w:ascii="仿宋_GB2312" w:eastAsia="仿宋_GB2312"/>
          <w:bCs/>
          <w:sz w:val="32"/>
          <w:szCs w:val="32"/>
          <w:lang w:eastAsia="zh-CN"/>
        </w:rPr>
        <w:t>和习</w:t>
      </w:r>
      <w:r>
        <w:rPr>
          <w:rFonts w:hint="eastAsia" w:ascii="仿宋_GB2312" w:eastAsia="仿宋_GB2312"/>
          <w:bCs/>
          <w:sz w:val="32"/>
          <w:szCs w:val="32"/>
        </w:rPr>
        <w:t>近平总书记关于安全生产重要论述，按照</w:t>
      </w:r>
      <w:r>
        <w:rPr>
          <w:rFonts w:hint="eastAsia" w:ascii="仿宋_GB2312" w:eastAsia="仿宋_GB2312"/>
          <w:bCs/>
          <w:sz w:val="32"/>
          <w:szCs w:val="32"/>
          <w:lang w:eastAsia="zh-CN"/>
        </w:rPr>
        <w:t>省住建厅、</w:t>
      </w:r>
      <w:r>
        <w:rPr>
          <w:rFonts w:hint="eastAsia" w:ascii="仿宋_GB2312" w:eastAsia="仿宋_GB2312"/>
          <w:bCs/>
          <w:sz w:val="32"/>
          <w:szCs w:val="32"/>
        </w:rPr>
        <w:t>市</w:t>
      </w:r>
      <w:r>
        <w:rPr>
          <w:rFonts w:hint="eastAsia" w:ascii="仿宋_GB2312" w:eastAsia="仿宋_GB2312"/>
          <w:bCs/>
          <w:sz w:val="32"/>
          <w:szCs w:val="32"/>
          <w:lang w:val="en-US" w:eastAsia="zh-CN"/>
        </w:rPr>
        <w:t>委</w:t>
      </w:r>
      <w:r>
        <w:rPr>
          <w:rFonts w:hint="eastAsia" w:ascii="仿宋_GB2312" w:eastAsia="仿宋_GB2312"/>
          <w:bCs/>
          <w:sz w:val="32"/>
          <w:szCs w:val="32"/>
          <w:lang w:eastAsia="zh-CN"/>
        </w:rPr>
        <w:t>、</w:t>
      </w:r>
      <w:r>
        <w:rPr>
          <w:rFonts w:hint="eastAsia" w:ascii="仿宋_GB2312" w:eastAsia="仿宋_GB2312"/>
          <w:bCs/>
          <w:sz w:val="32"/>
          <w:szCs w:val="32"/>
          <w:lang w:val="en-US" w:eastAsia="zh-CN"/>
        </w:rPr>
        <w:t>市政府和县</w:t>
      </w:r>
      <w:r>
        <w:rPr>
          <w:rFonts w:hint="eastAsia" w:ascii="仿宋_GB2312" w:eastAsia="仿宋_GB2312"/>
          <w:bCs/>
          <w:sz w:val="32"/>
          <w:szCs w:val="32"/>
        </w:rPr>
        <w:t>委、</w:t>
      </w:r>
      <w:r>
        <w:rPr>
          <w:rFonts w:hint="eastAsia" w:ascii="仿宋_GB2312" w:eastAsia="仿宋_GB2312"/>
          <w:bCs/>
          <w:sz w:val="32"/>
          <w:szCs w:val="32"/>
          <w:lang w:val="en-US" w:eastAsia="zh-CN"/>
        </w:rPr>
        <w:t>县</w:t>
      </w:r>
      <w:r>
        <w:rPr>
          <w:rFonts w:hint="eastAsia" w:ascii="仿宋_GB2312" w:eastAsia="仿宋_GB2312"/>
          <w:bCs/>
          <w:sz w:val="32"/>
          <w:szCs w:val="32"/>
        </w:rPr>
        <w:t>政府决策部署，坚持</w:t>
      </w:r>
      <w:r>
        <w:rPr>
          <w:rFonts w:hint="eastAsia" w:ascii="仿宋_GB2312" w:hAnsi="仿宋_GB2312" w:eastAsia="仿宋_GB2312" w:cs="仿宋_GB2312"/>
          <w:color w:val="000000"/>
          <w:kern w:val="0"/>
          <w:sz w:val="32"/>
          <w:szCs w:val="32"/>
          <w:shd w:val="clear" w:color="auto" w:fill="FFFFFF"/>
        </w:rPr>
        <w:t>安全第一、预防为主，以安全生产“铸安”行动和“三个狠抓”专项行动为抓手，扎实开展安全隐患排查整治，抓住突出矛盾问题，着力防控市政公用设施运行、建筑施工、城镇燃气、房屋建筑等重点领域安全风险，进一步强化系统治理，坚决防范遏制重特大事故，有效防范较大事故，尽力减少一般事故，确保全年安全生产形势持续稳定。</w:t>
      </w:r>
    </w:p>
    <w:p>
      <w:pPr>
        <w:keepNext w:val="0"/>
        <w:keepLines w:val="0"/>
        <w:pageBreakBefore w:val="0"/>
        <w:widowControl/>
        <w:shd w:val="clear" w:color="auto" w:fill="FFFFFF"/>
        <w:kinsoku/>
        <w:wordWrap/>
        <w:overflowPunct/>
        <w:topLinePunct w:val="0"/>
        <w:autoSpaceDN/>
        <w:bidi w:val="0"/>
        <w:adjustRightInd/>
        <w:spacing w:line="540" w:lineRule="exact"/>
        <w:ind w:firstLine="640" w:firstLineChars="200"/>
        <w:textAlignment w:val="auto"/>
        <w:rPr>
          <w:rFonts w:ascii="Times New Roman" w:hAnsi="Times New Roman" w:eastAsia="宋体" w:cs="Times New Roman"/>
          <w:color w:val="000000"/>
          <w:kern w:val="0"/>
          <w:szCs w:val="21"/>
        </w:rPr>
      </w:pPr>
      <w:r>
        <w:rPr>
          <w:rFonts w:ascii="黑体" w:hAnsi="宋体" w:eastAsia="黑体" w:cs="黑体"/>
          <w:color w:val="000000"/>
          <w:kern w:val="0"/>
          <w:sz w:val="32"/>
          <w:szCs w:val="32"/>
          <w:shd w:val="clear" w:color="auto" w:fill="FFFFFF"/>
        </w:rPr>
        <w:t>一、</w:t>
      </w:r>
      <w:r>
        <w:rPr>
          <w:rFonts w:hint="eastAsia" w:ascii="黑体" w:hAnsi="宋体" w:eastAsia="黑体" w:cs="黑体"/>
          <w:color w:val="000000"/>
          <w:kern w:val="0"/>
          <w:sz w:val="32"/>
          <w:szCs w:val="32"/>
          <w:shd w:val="clear" w:color="auto" w:fill="FFFFFF"/>
        </w:rPr>
        <w:t>强化</w:t>
      </w:r>
      <w:r>
        <w:rPr>
          <w:rFonts w:ascii="黑体" w:hAnsi="宋体" w:eastAsia="黑体" w:cs="黑体"/>
          <w:color w:val="000000"/>
          <w:kern w:val="0"/>
          <w:sz w:val="32"/>
          <w:szCs w:val="32"/>
          <w:shd w:val="clear" w:color="auto" w:fill="FFFFFF"/>
        </w:rPr>
        <w:t>人民至上、生命至上理念</w:t>
      </w:r>
    </w:p>
    <w:p>
      <w:pPr>
        <w:keepNext w:val="0"/>
        <w:keepLines w:val="0"/>
        <w:pageBreakBefore w:val="0"/>
        <w:widowControl/>
        <w:shd w:val="clear" w:color="auto" w:fill="FFFFFF"/>
        <w:kinsoku/>
        <w:wordWrap/>
        <w:overflowPunct/>
        <w:topLinePunct w:val="0"/>
        <w:autoSpaceDN/>
        <w:bidi w:val="0"/>
        <w:adjustRightInd/>
        <w:spacing w:line="540" w:lineRule="exact"/>
        <w:ind w:firstLine="640" w:firstLineChars="200"/>
        <w:textAlignment w:val="auto"/>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1.深入学习贯彻党的二十大精神和习近平总书记关于安全生产重要论述。贯彻落实党的二十大报告中关于安全生产的重要部署，坚持人民至上、生命至上，统筹经济发展、疫情防控和安全生产。进一步加强安全生产宣传引导，强化社会面的安全意识，广泛形成重视安全生产、守护万家平安的浓厚氛围。</w:t>
      </w:r>
    </w:p>
    <w:p>
      <w:pPr>
        <w:keepNext w:val="0"/>
        <w:keepLines w:val="0"/>
        <w:pageBreakBefore w:val="0"/>
        <w:widowControl/>
        <w:shd w:val="clear" w:color="auto" w:fill="FFFFFF"/>
        <w:kinsoku/>
        <w:wordWrap/>
        <w:overflowPunct/>
        <w:topLinePunct w:val="0"/>
        <w:autoSpaceDN/>
        <w:bidi w:val="0"/>
        <w:adjustRightInd/>
        <w:spacing w:line="540" w:lineRule="exact"/>
        <w:ind w:firstLine="640" w:firstLineChars="200"/>
        <w:textAlignment w:val="auto"/>
        <w:rPr>
          <w:rFonts w:hint="eastAsia" w:ascii="仿宋" w:hAnsi="仿宋" w:eastAsia="仿宋" w:cs="仿宋"/>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2.深化“两扫、两铁”专项治理行动。持续开展全</w:t>
      </w:r>
      <w:r>
        <w:rPr>
          <w:rFonts w:hint="eastAsia" w:ascii="仿宋_GB2312" w:hAnsi="仿宋_GB2312" w:eastAsia="仿宋_GB2312" w:cs="仿宋_GB2312"/>
          <w:color w:val="000000"/>
          <w:kern w:val="0"/>
          <w:sz w:val="32"/>
          <w:szCs w:val="32"/>
          <w:shd w:val="clear" w:color="auto" w:fill="FFFFFF"/>
          <w:lang w:val="en-US" w:eastAsia="zh-CN"/>
        </w:rPr>
        <w:t>县</w:t>
      </w:r>
      <w:r>
        <w:rPr>
          <w:rFonts w:hint="eastAsia" w:ascii="仿宋_GB2312" w:hAnsi="仿宋_GB2312" w:eastAsia="仿宋_GB2312" w:cs="仿宋_GB2312"/>
          <w:color w:val="000000"/>
          <w:kern w:val="0"/>
          <w:sz w:val="32"/>
          <w:szCs w:val="32"/>
          <w:shd w:val="clear" w:color="auto" w:fill="FFFFFF"/>
        </w:rPr>
        <w:t>住房城乡建设领域“两扫、两铁”专项治理行动，“逐企业、逐项目、逐设备”精准排查各类重大隐患。坚持问题导向，采取全面排查、重点抽查、层级督查等方式，巩固治理行动成果，对在“扫除”和“扫雷”治理行动过程中以及日常质量安全监管中暴露出来的问题，分析原因、找准症结，推动监管机制常态化、制度化。</w:t>
      </w:r>
    </w:p>
    <w:p>
      <w:pPr>
        <w:keepNext w:val="0"/>
        <w:keepLines w:val="0"/>
        <w:pageBreakBefore w:val="0"/>
        <w:kinsoku/>
        <w:wordWrap/>
        <w:overflowPunct/>
        <w:topLinePunct w:val="0"/>
        <w:autoSpaceDN/>
        <w:bidi w:val="0"/>
        <w:adjustRightInd/>
        <w:spacing w:line="540" w:lineRule="exact"/>
        <w:ind w:firstLine="640" w:firstLineChars="200"/>
        <w:textAlignment w:val="auto"/>
        <w:rPr>
          <w:rFonts w:ascii="黑体" w:hAnsi="宋体" w:eastAsia="黑体" w:cs="黑体"/>
          <w:color w:val="auto"/>
          <w:sz w:val="32"/>
          <w:szCs w:val="32"/>
          <w:shd w:val="clear" w:color="auto" w:fill="FFFFFF"/>
        </w:rPr>
      </w:pPr>
      <w:r>
        <w:rPr>
          <w:rFonts w:hint="eastAsia" w:ascii="黑体" w:hAnsi="宋体" w:eastAsia="黑体" w:cs="黑体"/>
          <w:color w:val="auto"/>
          <w:sz w:val="32"/>
          <w:szCs w:val="32"/>
          <w:shd w:val="clear" w:color="auto" w:fill="FFFFFF"/>
        </w:rPr>
        <w:t>二、深化自建房安全专项整治</w:t>
      </w:r>
    </w:p>
    <w:p>
      <w:pPr>
        <w:keepNext w:val="0"/>
        <w:keepLines w:val="0"/>
        <w:pageBreakBefore w:val="0"/>
        <w:widowControl/>
        <w:shd w:val="clear" w:color="auto" w:fill="FFFFFF"/>
        <w:kinsoku/>
        <w:wordWrap/>
        <w:overflowPunct/>
        <w:topLinePunct w:val="0"/>
        <w:autoSpaceDN/>
        <w:bidi w:val="0"/>
        <w:adjustRightInd/>
        <w:spacing w:line="540" w:lineRule="exact"/>
        <w:ind w:firstLine="640" w:firstLineChars="200"/>
        <w:textAlignment w:val="auto"/>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3.持续推进安全隐患排查整治。按照省</w:t>
      </w:r>
      <w:r>
        <w:rPr>
          <w:rFonts w:hint="eastAsia" w:ascii="仿宋_GB2312" w:hAnsi="仿宋_GB2312" w:eastAsia="仿宋_GB2312" w:cs="仿宋_GB2312"/>
          <w:color w:val="auto"/>
          <w:kern w:val="0"/>
          <w:sz w:val="32"/>
          <w:szCs w:val="32"/>
          <w:shd w:val="clear" w:color="auto" w:fill="FFFFFF"/>
          <w:lang w:eastAsia="zh-CN"/>
        </w:rPr>
        <w:t>、市、</w:t>
      </w:r>
      <w:r>
        <w:rPr>
          <w:rFonts w:hint="eastAsia" w:ascii="仿宋_GB2312" w:hAnsi="仿宋_GB2312" w:eastAsia="仿宋_GB2312" w:cs="仿宋_GB2312"/>
          <w:color w:val="auto"/>
          <w:kern w:val="0"/>
          <w:sz w:val="32"/>
          <w:szCs w:val="32"/>
          <w:shd w:val="clear" w:color="auto" w:fill="FFFFFF"/>
          <w:lang w:val="en-US" w:eastAsia="zh-CN"/>
        </w:rPr>
        <w:t>县</w:t>
      </w:r>
      <w:r>
        <w:rPr>
          <w:rFonts w:hint="eastAsia" w:ascii="仿宋_GB2312" w:hAnsi="仿宋_GB2312" w:eastAsia="仿宋_GB2312" w:cs="仿宋_GB2312"/>
          <w:color w:val="auto"/>
          <w:kern w:val="0"/>
          <w:sz w:val="32"/>
          <w:szCs w:val="32"/>
          <w:shd w:val="clear" w:color="auto" w:fill="FFFFFF"/>
        </w:rPr>
        <w:t>自建房安全专项整治工作部署，巩固自建房安全隐患排查整治成果，对经营性自建房持续开展“回头看”，加快排查整治非经营性的自建房，落实排查整治全覆盖，不留死角和盲区，将专项整治工作做严做实做细。</w:t>
      </w:r>
    </w:p>
    <w:p>
      <w:pPr>
        <w:keepNext w:val="0"/>
        <w:keepLines w:val="0"/>
        <w:pageBreakBefore w:val="0"/>
        <w:widowControl/>
        <w:shd w:val="clear" w:color="auto" w:fill="FFFFFF"/>
        <w:kinsoku/>
        <w:wordWrap/>
        <w:overflowPunct/>
        <w:topLinePunct w:val="0"/>
        <w:autoSpaceDN/>
        <w:bidi w:val="0"/>
        <w:adjustRightInd/>
        <w:spacing w:line="540" w:lineRule="exact"/>
        <w:ind w:firstLine="640" w:firstLineChars="200"/>
        <w:textAlignment w:val="auto"/>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4.实施分类整治。落实属地责任和行业监管责任，对存在安全隐患的自建房，逐一制定整治方案，明确整治措施和整治时限。坚持产权人是房屋安全第一责任人，严格落实产权人和使用人安全责任。坚持先急后缓，先大后小，分类处置。以最严格的标准，把查处的隐患全部管控到位，做到“危房不进人、人不进危房”。</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eastAsia="仿宋_GB2312"/>
          <w:color w:val="auto"/>
          <w:lang w:eastAsia="zh-CN"/>
        </w:rPr>
      </w:pPr>
      <w:r>
        <w:rPr>
          <w:rFonts w:hint="eastAsia" w:ascii="仿宋_GB2312" w:eastAsia="仿宋_GB2312"/>
          <w:bCs/>
          <w:color w:val="auto"/>
          <w:sz w:val="32"/>
          <w:szCs w:val="32"/>
          <w:lang w:val="en-US" w:eastAsia="zh-CN"/>
        </w:rPr>
        <w:t>5</w:t>
      </w:r>
      <w:r>
        <w:rPr>
          <w:rFonts w:hint="eastAsia" w:ascii="仿宋_GB2312" w:eastAsia="仿宋_GB2312"/>
          <w:bCs/>
          <w:color w:val="auto"/>
          <w:sz w:val="32"/>
          <w:szCs w:val="32"/>
        </w:rPr>
        <w:t>.建立自建房长效管理机制。认真贯彻落实《安徽省自建房屋安全管理办法》，</w:t>
      </w:r>
      <w:r>
        <w:rPr>
          <w:rFonts w:hint="eastAsia" w:ascii="仿宋_GB2312" w:eastAsia="仿宋_GB2312"/>
          <w:bCs/>
          <w:color w:val="auto"/>
          <w:sz w:val="32"/>
          <w:szCs w:val="32"/>
          <w:lang w:eastAsia="zh-CN"/>
        </w:rPr>
        <w:t>按照黄山市即将</w:t>
      </w:r>
      <w:r>
        <w:rPr>
          <w:rFonts w:hint="eastAsia" w:ascii="仿宋_GB2312" w:eastAsia="仿宋_GB2312"/>
          <w:bCs/>
          <w:color w:val="auto"/>
          <w:sz w:val="32"/>
          <w:szCs w:val="32"/>
        </w:rPr>
        <w:t>印发施行</w:t>
      </w:r>
      <w:r>
        <w:rPr>
          <w:rFonts w:hint="eastAsia" w:ascii="仿宋_GB2312" w:eastAsia="仿宋_GB2312"/>
          <w:bCs/>
          <w:color w:val="auto"/>
          <w:sz w:val="32"/>
          <w:szCs w:val="32"/>
          <w:lang w:eastAsia="zh-CN"/>
        </w:rPr>
        <w:t>的</w:t>
      </w:r>
      <w:r>
        <w:rPr>
          <w:rFonts w:hint="eastAsia" w:ascii="仿宋_GB2312" w:eastAsia="仿宋_GB2312"/>
          <w:bCs/>
          <w:color w:val="auto"/>
          <w:sz w:val="32"/>
          <w:szCs w:val="32"/>
        </w:rPr>
        <w:t>《农村自建房质量控制导则》，</w:t>
      </w:r>
      <w:r>
        <w:rPr>
          <w:rFonts w:hint="eastAsia" w:ascii="仿宋_GB2312" w:eastAsia="仿宋_GB2312"/>
          <w:bCs/>
          <w:color w:val="auto"/>
          <w:sz w:val="32"/>
          <w:szCs w:val="32"/>
          <w:lang w:eastAsia="zh-CN"/>
        </w:rPr>
        <w:t>指导乡镇</w:t>
      </w:r>
      <w:r>
        <w:rPr>
          <w:rFonts w:hint="eastAsia" w:ascii="仿宋_GB2312" w:eastAsia="仿宋_GB2312"/>
          <w:bCs/>
          <w:color w:val="auto"/>
          <w:sz w:val="32"/>
          <w:szCs w:val="32"/>
        </w:rPr>
        <w:t>切实加强农村建房管理，规范规划、设计、施工系列建房程序，重点加强特别是（三层以上）农村自建房的审批、指导和安全管理；在使用环节依法推动将房屋安全鉴定作为自建房办理相关经营许可的前提条件。推进经营性自建房、公产房、教育类房屋质量保险和体检制度落实，确保农村自建房质量安全</w:t>
      </w:r>
      <w:r>
        <w:rPr>
          <w:rFonts w:hint="eastAsia" w:ascii="仿宋_GB2312" w:eastAsia="仿宋_GB2312"/>
          <w:bCs/>
          <w:color w:val="auto"/>
          <w:sz w:val="32"/>
          <w:szCs w:val="32"/>
          <w:lang w:eastAsia="zh-CN"/>
        </w:rPr>
        <w:t>。</w:t>
      </w:r>
    </w:p>
    <w:p>
      <w:pPr>
        <w:keepNext w:val="0"/>
        <w:keepLines w:val="0"/>
        <w:pageBreakBefore w:val="0"/>
        <w:widowControl/>
        <w:shd w:val="clear" w:color="auto" w:fill="FFFFFF"/>
        <w:kinsoku/>
        <w:wordWrap/>
        <w:overflowPunct/>
        <w:topLinePunct w:val="0"/>
        <w:autoSpaceDN/>
        <w:bidi w:val="0"/>
        <w:adjustRightInd/>
        <w:spacing w:line="540" w:lineRule="exact"/>
        <w:ind w:firstLine="640" w:firstLineChars="200"/>
        <w:textAlignment w:val="auto"/>
        <w:rPr>
          <w:rFonts w:ascii="Times New Roman" w:hAnsi="Times New Roman" w:eastAsia="宋体" w:cs="Times New Roman"/>
          <w:color w:val="000000"/>
          <w:kern w:val="0"/>
          <w:szCs w:val="21"/>
        </w:rPr>
      </w:pPr>
      <w:r>
        <w:rPr>
          <w:rFonts w:hint="eastAsia" w:ascii="黑体" w:hAnsi="宋体" w:eastAsia="黑体" w:cs="黑体"/>
          <w:color w:val="000000"/>
          <w:kern w:val="0"/>
          <w:sz w:val="32"/>
          <w:szCs w:val="32"/>
          <w:shd w:val="clear" w:color="auto" w:fill="FFFFFF"/>
        </w:rPr>
        <w:t>三、强化建筑施工安全风险防控</w:t>
      </w:r>
    </w:p>
    <w:p>
      <w:pPr>
        <w:keepNext w:val="0"/>
        <w:keepLines w:val="0"/>
        <w:pageBreakBefore w:val="0"/>
        <w:widowControl/>
        <w:shd w:val="clear" w:color="auto" w:fill="FFFFFF"/>
        <w:kinsoku/>
        <w:wordWrap/>
        <w:overflowPunct/>
        <w:topLinePunct w:val="0"/>
        <w:autoSpaceDN/>
        <w:bidi w:val="0"/>
        <w:adjustRightInd/>
        <w:spacing w:line="540" w:lineRule="exact"/>
        <w:ind w:firstLine="640" w:firstLineChars="200"/>
        <w:textAlignment w:val="auto"/>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6.严格</w:t>
      </w:r>
      <w:r>
        <w:rPr>
          <w:rFonts w:ascii="仿宋_GB2312" w:hAnsi="仿宋_GB2312" w:eastAsia="仿宋_GB2312" w:cs="仿宋_GB2312"/>
          <w:color w:val="000000"/>
          <w:kern w:val="0"/>
          <w:sz w:val="32"/>
          <w:szCs w:val="32"/>
          <w:shd w:val="clear" w:color="auto" w:fill="FFFFFF"/>
        </w:rPr>
        <w:t>危大工程</w:t>
      </w:r>
      <w:r>
        <w:rPr>
          <w:rFonts w:hint="eastAsia" w:ascii="仿宋_GB2312" w:hAnsi="仿宋_GB2312" w:eastAsia="仿宋_GB2312" w:cs="仿宋_GB2312"/>
          <w:color w:val="000000"/>
          <w:kern w:val="0"/>
          <w:sz w:val="32"/>
          <w:szCs w:val="32"/>
          <w:shd w:val="clear" w:color="auto" w:fill="FFFFFF"/>
        </w:rPr>
        <w:t>管控</w:t>
      </w:r>
      <w:r>
        <w:rPr>
          <w:rFonts w:ascii="仿宋_GB2312" w:hAnsi="仿宋_GB2312" w:eastAsia="仿宋_GB2312" w:cs="仿宋_GB2312"/>
          <w:color w:val="000000"/>
          <w:kern w:val="0"/>
          <w:sz w:val="32"/>
          <w:szCs w:val="32"/>
          <w:shd w:val="clear" w:color="auto" w:fill="FFFFFF"/>
        </w:rPr>
        <w:t>。认真落实</w:t>
      </w:r>
      <w:r>
        <w:rPr>
          <w:rFonts w:hint="eastAsia" w:ascii="仿宋_GB2312" w:hAnsi="仿宋_GB2312" w:eastAsia="仿宋_GB2312" w:cs="仿宋_GB2312"/>
          <w:color w:val="000000"/>
          <w:kern w:val="0"/>
          <w:sz w:val="32"/>
          <w:szCs w:val="32"/>
          <w:shd w:val="clear" w:color="auto" w:fill="FFFFFF"/>
        </w:rPr>
        <w:t>住房城乡建设</w:t>
      </w:r>
      <w:r>
        <w:rPr>
          <w:rFonts w:ascii="仿宋_GB2312" w:hAnsi="仿宋_GB2312" w:eastAsia="仿宋_GB2312" w:cs="仿宋_GB2312"/>
          <w:color w:val="000000"/>
          <w:kern w:val="0"/>
          <w:sz w:val="32"/>
          <w:szCs w:val="32"/>
          <w:shd w:val="clear" w:color="auto" w:fill="FFFFFF"/>
        </w:rPr>
        <w:t>部《危险性较大的分部分项工程安全管理规定》，严格要求工程参建单位建立健全危大工程安全管控体系，加强危大工程专项方案编制、审查、论证、审批、验收等环节管理，严格按专项施工方案施工作业，确保危大工程安全风险受控。严格按照</w:t>
      </w:r>
      <w:r>
        <w:rPr>
          <w:rFonts w:hint="eastAsia" w:ascii="仿宋_GB2312" w:hAnsi="仿宋_GB2312" w:eastAsia="仿宋_GB2312" w:cs="仿宋_GB2312"/>
          <w:color w:val="000000"/>
          <w:kern w:val="0"/>
          <w:sz w:val="32"/>
          <w:szCs w:val="32"/>
          <w:shd w:val="clear" w:color="auto" w:fill="FFFFFF"/>
        </w:rPr>
        <w:t>住房城乡建设</w:t>
      </w:r>
      <w:r>
        <w:rPr>
          <w:rFonts w:ascii="仿宋_GB2312" w:hAnsi="仿宋_GB2312" w:eastAsia="仿宋_GB2312" w:cs="仿宋_GB2312"/>
          <w:color w:val="000000"/>
          <w:kern w:val="0"/>
          <w:sz w:val="32"/>
          <w:szCs w:val="32"/>
          <w:shd w:val="clear" w:color="auto" w:fill="FFFFFF"/>
        </w:rPr>
        <w:t>部《房屋市政工程生产安全重大事故隐患判定标准（2022版）》，突出建筑起重机械、基坑工程、模板工程及支撑体系、脚手架工程、拆除工程、暗挖工程等，排查各类重大隐患。</w:t>
      </w:r>
    </w:p>
    <w:p>
      <w:pPr>
        <w:keepNext w:val="0"/>
        <w:keepLines w:val="0"/>
        <w:pageBreakBefore w:val="0"/>
        <w:widowControl/>
        <w:shd w:val="clear" w:color="auto" w:fill="FFFFFF"/>
        <w:kinsoku/>
        <w:wordWrap/>
        <w:overflowPunct/>
        <w:topLinePunct w:val="0"/>
        <w:autoSpaceDN/>
        <w:bidi w:val="0"/>
        <w:adjustRightInd/>
        <w:spacing w:line="540" w:lineRule="exact"/>
        <w:ind w:firstLine="640" w:firstLineChars="200"/>
        <w:textAlignment w:val="auto"/>
        <w:rPr>
          <w:rFonts w:ascii="仿宋_GB2312" w:hAnsi="仿宋_GB2312" w:eastAsia="仿宋_GB2312" w:cs="仿宋_GB2312"/>
          <w:b w:val="0"/>
          <w:bCs w:val="0"/>
          <w:color w:val="auto"/>
          <w:kern w:val="0"/>
          <w:sz w:val="32"/>
          <w:szCs w:val="32"/>
          <w:shd w:val="clear" w:color="auto" w:fill="FFFFFF"/>
        </w:rPr>
      </w:pPr>
      <w:r>
        <w:rPr>
          <w:rFonts w:hint="eastAsia" w:ascii="仿宋_GB2312" w:hAnsi="仿宋_GB2312" w:eastAsia="仿宋_GB2312" w:cs="仿宋_GB2312"/>
          <w:b w:val="0"/>
          <w:bCs w:val="0"/>
          <w:color w:val="auto"/>
          <w:kern w:val="0"/>
          <w:sz w:val="32"/>
          <w:szCs w:val="32"/>
          <w:shd w:val="clear" w:color="auto" w:fill="FFFFFF"/>
        </w:rPr>
        <w:t>7.加强</w:t>
      </w:r>
      <w:r>
        <w:rPr>
          <w:rFonts w:ascii="仿宋_GB2312" w:hAnsi="仿宋_GB2312" w:eastAsia="仿宋_GB2312" w:cs="仿宋_GB2312"/>
          <w:b w:val="0"/>
          <w:bCs w:val="0"/>
          <w:color w:val="auto"/>
          <w:kern w:val="0"/>
          <w:sz w:val="32"/>
          <w:szCs w:val="32"/>
          <w:shd w:val="clear" w:color="auto" w:fill="FFFFFF"/>
        </w:rPr>
        <w:t>有限空间</w:t>
      </w:r>
      <w:r>
        <w:rPr>
          <w:rFonts w:hint="eastAsia" w:ascii="仿宋_GB2312" w:hAnsi="仿宋_GB2312" w:eastAsia="仿宋_GB2312" w:cs="仿宋_GB2312"/>
          <w:b w:val="0"/>
          <w:bCs w:val="0"/>
          <w:color w:val="auto"/>
          <w:kern w:val="0"/>
          <w:sz w:val="32"/>
          <w:szCs w:val="32"/>
          <w:shd w:val="clear" w:color="auto" w:fill="FFFFFF"/>
        </w:rPr>
        <w:t>作业管理</w:t>
      </w:r>
      <w:r>
        <w:rPr>
          <w:rFonts w:ascii="仿宋_GB2312" w:hAnsi="仿宋_GB2312" w:eastAsia="仿宋_GB2312" w:cs="仿宋_GB2312"/>
          <w:b w:val="0"/>
          <w:bCs w:val="0"/>
          <w:color w:val="auto"/>
          <w:kern w:val="0"/>
          <w:sz w:val="32"/>
          <w:szCs w:val="32"/>
          <w:shd w:val="clear" w:color="auto" w:fill="FFFFFF"/>
        </w:rPr>
        <w:t>。聚焦</w:t>
      </w:r>
      <w:r>
        <w:rPr>
          <w:rFonts w:hint="eastAsia" w:ascii="仿宋_GB2312" w:hAnsi="仿宋_GB2312" w:eastAsia="仿宋_GB2312" w:cs="仿宋_GB2312"/>
          <w:b w:val="0"/>
          <w:bCs w:val="0"/>
          <w:color w:val="auto"/>
          <w:kern w:val="0"/>
          <w:sz w:val="32"/>
          <w:szCs w:val="32"/>
          <w:shd w:val="clear" w:color="auto" w:fill="FFFFFF"/>
          <w:lang w:val="en-US" w:eastAsia="zh-CN"/>
        </w:rPr>
        <w:t>房屋</w:t>
      </w:r>
      <w:r>
        <w:rPr>
          <w:rFonts w:ascii="仿宋_GB2312" w:hAnsi="仿宋_GB2312" w:eastAsia="仿宋_GB2312" w:cs="仿宋_GB2312"/>
          <w:b w:val="0"/>
          <w:bCs w:val="0"/>
          <w:color w:val="auto"/>
          <w:kern w:val="0"/>
          <w:sz w:val="32"/>
          <w:szCs w:val="32"/>
          <w:shd w:val="clear" w:color="auto" w:fill="FFFFFF"/>
        </w:rPr>
        <w:t>市政</w:t>
      </w:r>
      <w:r>
        <w:rPr>
          <w:rFonts w:hint="eastAsia" w:ascii="仿宋_GB2312" w:hAnsi="仿宋_GB2312" w:eastAsia="仿宋_GB2312" w:cs="仿宋_GB2312"/>
          <w:b w:val="0"/>
          <w:bCs w:val="0"/>
          <w:color w:val="auto"/>
          <w:kern w:val="0"/>
          <w:sz w:val="32"/>
          <w:szCs w:val="32"/>
          <w:shd w:val="clear" w:color="auto" w:fill="FFFFFF"/>
          <w:lang w:val="en-US" w:eastAsia="zh-CN"/>
        </w:rPr>
        <w:t>工程</w:t>
      </w:r>
      <w:r>
        <w:rPr>
          <w:rFonts w:ascii="仿宋_GB2312" w:hAnsi="仿宋_GB2312" w:eastAsia="仿宋_GB2312" w:cs="仿宋_GB2312"/>
          <w:b w:val="0"/>
          <w:bCs w:val="0"/>
          <w:color w:val="auto"/>
          <w:kern w:val="0"/>
          <w:sz w:val="32"/>
          <w:szCs w:val="32"/>
          <w:shd w:val="clear" w:color="auto" w:fill="FFFFFF"/>
        </w:rPr>
        <w:t>和地下空间作业维护安全管理，不断加强施工现场有限空间作业安全监管，严格执行“先通风、再检测、后作业”的原则。持续开展安全管理培训教育宣传和技术交底，进一步加深作业人员有限空间作业风险意识和防范技能。按规定配备应急救援装备，定期开展应急救援演练，提升从业人员自救互救应急处置能力，坚决杜绝盲目施救。</w:t>
      </w:r>
    </w:p>
    <w:p>
      <w:pPr>
        <w:keepNext w:val="0"/>
        <w:keepLines w:val="0"/>
        <w:pageBreakBefore w:val="0"/>
        <w:widowControl/>
        <w:shd w:val="clear" w:color="auto" w:fill="FFFFFF"/>
        <w:kinsoku/>
        <w:wordWrap/>
        <w:overflowPunct/>
        <w:topLinePunct w:val="0"/>
        <w:autoSpaceDN/>
        <w:bidi w:val="0"/>
        <w:adjustRightInd/>
        <w:spacing w:line="540" w:lineRule="exact"/>
        <w:ind w:firstLine="640" w:firstLineChars="200"/>
        <w:textAlignment w:val="auto"/>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8.加强</w:t>
      </w:r>
      <w:r>
        <w:rPr>
          <w:rFonts w:ascii="仿宋_GB2312" w:hAnsi="仿宋_GB2312" w:eastAsia="仿宋_GB2312" w:cs="仿宋_GB2312"/>
          <w:color w:val="000000"/>
          <w:kern w:val="0"/>
          <w:sz w:val="32"/>
          <w:szCs w:val="32"/>
          <w:shd w:val="clear" w:color="auto" w:fill="FFFFFF"/>
        </w:rPr>
        <w:t>高处作业</w:t>
      </w:r>
      <w:r>
        <w:rPr>
          <w:rFonts w:hint="eastAsia" w:ascii="仿宋_GB2312" w:hAnsi="仿宋_GB2312" w:eastAsia="仿宋_GB2312" w:cs="仿宋_GB2312"/>
          <w:color w:val="000000"/>
          <w:kern w:val="0"/>
          <w:sz w:val="32"/>
          <w:szCs w:val="32"/>
          <w:shd w:val="clear" w:color="auto" w:fill="FFFFFF"/>
        </w:rPr>
        <w:t>管理</w:t>
      </w:r>
      <w:r>
        <w:rPr>
          <w:rFonts w:ascii="仿宋_GB2312" w:hAnsi="仿宋_GB2312" w:eastAsia="仿宋_GB2312" w:cs="仿宋_GB2312"/>
          <w:color w:val="000000"/>
          <w:kern w:val="0"/>
          <w:sz w:val="32"/>
          <w:szCs w:val="32"/>
          <w:shd w:val="clear" w:color="auto" w:fill="FFFFFF"/>
        </w:rPr>
        <w:t>。落实临边、洞口、攀登、悬空、操作平台、交叉作业及安全网搭设等施工作业安全防护措施，做到安全保障措施不到位不施工、安全教育和安全技术交底不到位不施工、安全旁站及监护人不到位不施工。</w:t>
      </w:r>
    </w:p>
    <w:p>
      <w:pPr>
        <w:keepNext w:val="0"/>
        <w:keepLines w:val="0"/>
        <w:pageBreakBefore w:val="0"/>
        <w:widowControl/>
        <w:shd w:val="clear" w:color="auto" w:fill="FFFFFF"/>
        <w:kinsoku/>
        <w:wordWrap/>
        <w:overflowPunct/>
        <w:topLinePunct w:val="0"/>
        <w:autoSpaceDN/>
        <w:bidi w:val="0"/>
        <w:adjustRightInd/>
        <w:spacing w:line="540" w:lineRule="exact"/>
        <w:ind w:firstLine="640" w:firstLineChars="200"/>
        <w:textAlignment w:val="auto"/>
        <w:rPr>
          <w:rFonts w:hint="eastAsia" w:ascii="黑体" w:hAnsi="黑体" w:eastAsia="黑体" w:cs="黑体"/>
          <w:b w:val="0"/>
          <w:bCs w:val="0"/>
          <w:color w:val="auto"/>
          <w:kern w:val="0"/>
          <w:szCs w:val="21"/>
        </w:rPr>
      </w:pPr>
      <w:r>
        <w:rPr>
          <w:rFonts w:hint="eastAsia" w:ascii="黑体" w:hAnsi="黑体" w:eastAsia="黑体" w:cs="黑体"/>
          <w:b w:val="0"/>
          <w:bCs w:val="0"/>
          <w:color w:val="auto"/>
          <w:kern w:val="0"/>
          <w:sz w:val="32"/>
          <w:szCs w:val="32"/>
          <w:shd w:val="clear" w:color="auto" w:fill="FFFFFF"/>
          <w:lang w:val="en-US" w:eastAsia="zh-CN"/>
        </w:rPr>
        <w:t>四、强化建筑市场管理</w:t>
      </w:r>
      <w:r>
        <w:rPr>
          <w:rFonts w:hint="eastAsia" w:ascii="黑体" w:hAnsi="黑体" w:eastAsia="黑体" w:cs="黑体"/>
          <w:b w:val="0"/>
          <w:bCs w:val="0"/>
          <w:color w:val="auto"/>
          <w:kern w:val="0"/>
          <w:sz w:val="32"/>
          <w:szCs w:val="32"/>
          <w:shd w:val="clear" w:color="auto" w:fill="FFFFFF"/>
        </w:rPr>
        <w:t>风险防控</w:t>
      </w:r>
    </w:p>
    <w:p>
      <w:pPr>
        <w:keepNext w:val="0"/>
        <w:keepLines w:val="0"/>
        <w:pageBreakBefore w:val="0"/>
        <w:widowControl/>
        <w:shd w:val="clear" w:color="auto" w:fill="FFFFFF"/>
        <w:kinsoku/>
        <w:wordWrap/>
        <w:overflowPunct/>
        <w:topLinePunct w:val="0"/>
        <w:autoSpaceDN/>
        <w:bidi w:val="0"/>
        <w:adjustRightInd/>
        <w:spacing w:line="540" w:lineRule="exact"/>
        <w:ind w:firstLine="640" w:firstLineChars="200"/>
        <w:textAlignment w:val="auto"/>
        <w:rPr>
          <w:rFonts w:ascii="仿宋_GB2312" w:hAnsi="仿宋_GB2312" w:eastAsia="仿宋_GB2312" w:cs="仿宋_GB2312"/>
          <w:b w:val="0"/>
          <w:bCs w:val="0"/>
          <w:color w:val="auto"/>
          <w:kern w:val="0"/>
          <w:sz w:val="32"/>
          <w:szCs w:val="32"/>
          <w:shd w:val="clear" w:color="auto" w:fill="FFFFFF"/>
        </w:rPr>
      </w:pPr>
      <w:r>
        <w:rPr>
          <w:rFonts w:hint="eastAsia" w:ascii="仿宋_GB2312" w:hAnsi="仿宋_GB2312" w:eastAsia="仿宋_GB2312" w:cs="仿宋_GB2312"/>
          <w:b w:val="0"/>
          <w:bCs w:val="0"/>
          <w:color w:val="auto"/>
          <w:kern w:val="0"/>
          <w:sz w:val="32"/>
          <w:szCs w:val="32"/>
          <w:shd w:val="clear" w:color="auto" w:fill="FFFFFF"/>
        </w:rPr>
        <w:t>9.规范建筑市场管理。持续开展建筑工程施工许可证合法性排查，严格依法查处转包、挂靠、违法分包、转让出借资质证书、专业技术人员“挂证”、拖欠工程款和农民工工资等违法违规行为。</w:t>
      </w:r>
    </w:p>
    <w:p>
      <w:pPr>
        <w:keepNext w:val="0"/>
        <w:keepLines w:val="0"/>
        <w:pageBreakBefore w:val="0"/>
        <w:widowControl/>
        <w:shd w:val="clear" w:color="auto" w:fill="FFFFFF"/>
        <w:kinsoku/>
        <w:wordWrap/>
        <w:overflowPunct/>
        <w:topLinePunct w:val="0"/>
        <w:autoSpaceDN/>
        <w:bidi w:val="0"/>
        <w:adjustRightInd/>
        <w:spacing w:line="540" w:lineRule="exact"/>
        <w:ind w:firstLine="640" w:firstLineChars="200"/>
        <w:textAlignment w:val="auto"/>
        <w:rPr>
          <w:rFonts w:hint="default" w:ascii="仿宋_GB2312" w:hAnsi="仿宋_GB2312" w:eastAsia="仿宋_GB2312" w:cs="仿宋_GB2312"/>
          <w:b w:val="0"/>
          <w:bCs w:val="0"/>
          <w:color w:val="auto"/>
          <w:kern w:val="0"/>
          <w:sz w:val="32"/>
          <w:szCs w:val="32"/>
          <w:shd w:val="clear" w:color="auto" w:fill="FFFFFF"/>
          <w:lang w:val="en-US" w:eastAsia="zh-CN"/>
        </w:rPr>
      </w:pPr>
      <w:r>
        <w:rPr>
          <w:rFonts w:hint="eastAsia" w:ascii="仿宋_GB2312" w:hAnsi="仿宋_GB2312" w:eastAsia="仿宋_GB2312" w:cs="仿宋_GB2312"/>
          <w:b w:val="0"/>
          <w:bCs w:val="0"/>
          <w:color w:val="auto"/>
          <w:kern w:val="0"/>
          <w:sz w:val="32"/>
          <w:szCs w:val="32"/>
          <w:shd w:val="clear" w:color="auto" w:fill="FFFFFF"/>
        </w:rPr>
        <w:t>10.防范化解消防安全风险。加强消防设计审查验收监管，开展“双随机、一公开”监督检查。</w:t>
      </w:r>
      <w:r>
        <w:rPr>
          <w:rFonts w:hint="eastAsia" w:ascii="仿宋_GB2312" w:hAnsi="仿宋_GB2312" w:eastAsia="仿宋_GB2312" w:cs="仿宋_GB2312"/>
          <w:b w:val="0"/>
          <w:bCs w:val="0"/>
          <w:color w:val="auto"/>
          <w:kern w:val="0"/>
          <w:sz w:val="32"/>
          <w:szCs w:val="32"/>
          <w:shd w:val="clear" w:color="auto" w:fill="FFFFFF"/>
          <w:lang w:val="en-US" w:eastAsia="zh-CN"/>
        </w:rPr>
        <w:t>督促建设、设计、施工、监理、技术服务机构落实建设工程消防安全主体责任，依法严肃查处建设工程消防设计审查验收过程中的违法违规行为。</w:t>
      </w:r>
      <w:r>
        <w:rPr>
          <w:rFonts w:hint="eastAsia" w:ascii="仿宋_GB2312" w:hAnsi="仿宋_GB2312" w:eastAsia="仿宋_GB2312" w:cs="仿宋_GB2312"/>
          <w:b w:val="0"/>
          <w:bCs w:val="0"/>
          <w:color w:val="auto"/>
          <w:kern w:val="0"/>
          <w:sz w:val="32"/>
          <w:szCs w:val="32"/>
          <w:shd w:val="clear" w:color="auto" w:fill="FFFFFF"/>
        </w:rPr>
        <w:t>加大培训力度，不断提升消防审计审查验收人员能力和服务水平。</w:t>
      </w:r>
    </w:p>
    <w:p>
      <w:pPr>
        <w:keepNext w:val="0"/>
        <w:keepLines w:val="0"/>
        <w:pageBreakBefore w:val="0"/>
        <w:widowControl/>
        <w:shd w:val="clear" w:color="auto" w:fill="FFFFFF"/>
        <w:kinsoku/>
        <w:wordWrap/>
        <w:overflowPunct/>
        <w:topLinePunct w:val="0"/>
        <w:autoSpaceDN/>
        <w:bidi w:val="0"/>
        <w:adjustRightInd/>
        <w:spacing w:line="540" w:lineRule="exact"/>
        <w:ind w:firstLine="640" w:firstLineChars="200"/>
        <w:textAlignment w:val="auto"/>
        <w:rPr>
          <w:rFonts w:hint="eastAsia" w:ascii="Times New Roman" w:hAnsi="Times New Roman" w:eastAsia="黑体" w:cs="Times New Roman"/>
          <w:b w:val="0"/>
          <w:bCs w:val="0"/>
          <w:color w:val="auto"/>
          <w:kern w:val="0"/>
          <w:sz w:val="32"/>
          <w:szCs w:val="32"/>
        </w:rPr>
      </w:pPr>
      <w:r>
        <w:rPr>
          <w:rFonts w:hint="eastAsia" w:ascii="黑体" w:hAnsi="宋体" w:eastAsia="黑体" w:cs="黑体"/>
          <w:b w:val="0"/>
          <w:bCs w:val="0"/>
          <w:color w:val="auto"/>
          <w:kern w:val="0"/>
          <w:sz w:val="32"/>
          <w:szCs w:val="32"/>
          <w:shd w:val="clear" w:color="auto" w:fill="FFFFFF"/>
          <w:lang w:val="en-US" w:eastAsia="zh-CN"/>
        </w:rPr>
        <w:t>五</w:t>
      </w:r>
      <w:r>
        <w:rPr>
          <w:rFonts w:hint="eastAsia" w:ascii="黑体" w:hAnsi="宋体" w:eastAsia="黑体" w:cs="黑体"/>
          <w:b w:val="0"/>
          <w:bCs w:val="0"/>
          <w:color w:val="auto"/>
          <w:kern w:val="0"/>
          <w:sz w:val="32"/>
          <w:szCs w:val="32"/>
          <w:shd w:val="clear" w:color="auto" w:fill="FFFFFF"/>
        </w:rPr>
        <w:t>、强化市政公用设施安全风险防控</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b w:val="0"/>
          <w:bCs w:val="0"/>
          <w:color w:val="auto"/>
          <w:sz w:val="32"/>
          <w:szCs w:val="32"/>
        </w:rPr>
      </w:pPr>
      <w:r>
        <w:rPr>
          <w:rFonts w:hint="eastAsia" w:ascii="仿宋_GB2312" w:hAnsi="仿宋_GB2312" w:eastAsia="仿宋_GB2312" w:cs="仿宋_GB2312"/>
          <w:b w:val="0"/>
          <w:bCs w:val="0"/>
          <w:color w:val="auto"/>
          <w:kern w:val="0"/>
          <w:sz w:val="32"/>
          <w:szCs w:val="32"/>
          <w:shd w:val="clear" w:color="auto" w:fill="FFFFFF"/>
        </w:rPr>
        <w:t>11.深入实施城市生命线安全工程建设。加快推进城市生命线安全工程建设</w:t>
      </w:r>
      <w:r>
        <w:rPr>
          <w:rFonts w:hint="eastAsia" w:ascii="仿宋_GB2312" w:hAnsi="仿宋_GB2312" w:eastAsia="仿宋_GB2312" w:cs="仿宋_GB2312"/>
          <w:b w:val="0"/>
          <w:bCs w:val="0"/>
          <w:color w:val="auto"/>
          <w:kern w:val="0"/>
          <w:sz w:val="32"/>
          <w:szCs w:val="32"/>
          <w:shd w:val="clear" w:color="auto" w:fill="FFFFFF"/>
          <w:lang w:eastAsia="zh-CN"/>
        </w:rPr>
        <w:t>。以城市排水防涝、供水、燃气，桥梁</w:t>
      </w:r>
      <w:r>
        <w:rPr>
          <w:rFonts w:hint="eastAsia" w:ascii="仿宋_GB2312" w:hAnsi="仿宋_GB2312" w:eastAsia="仿宋_GB2312" w:cs="仿宋_GB2312"/>
          <w:b w:val="0"/>
          <w:bCs w:val="0"/>
          <w:color w:val="auto"/>
          <w:kern w:val="0"/>
          <w:sz w:val="32"/>
          <w:szCs w:val="32"/>
          <w:shd w:val="clear" w:color="auto" w:fill="FFFFFF"/>
          <w:lang w:val="en-US" w:eastAsia="zh-CN"/>
        </w:rPr>
        <w:t>为重点，增强城市安全风险管理能力。</w:t>
      </w:r>
      <w:r>
        <w:rPr>
          <w:rFonts w:hint="eastAsia" w:ascii="仿宋_GB2312" w:eastAsia="仿宋_GB2312"/>
          <w:b w:val="0"/>
          <w:bCs w:val="0"/>
          <w:color w:val="auto"/>
          <w:sz w:val="32"/>
          <w:szCs w:val="32"/>
        </w:rPr>
        <w:t>提升城市生命线的监测覆盖面；加强相关行业系统的数据整合，做好监测数据分析研判；健全工作机制，持续推进7x24小时值守运维和数据分析专业运营服务体系。全面提升城市安全保障水平，有效防范和坚决遏制重特大安全事故发生，保障城市安全运行。</w:t>
      </w:r>
    </w:p>
    <w:p>
      <w:pPr>
        <w:keepNext w:val="0"/>
        <w:keepLines w:val="0"/>
        <w:pageBreakBefore w:val="0"/>
        <w:kinsoku/>
        <w:wordWrap/>
        <w:overflowPunct/>
        <w:topLinePunct w:val="0"/>
        <w:autoSpaceDN/>
        <w:bidi w:val="0"/>
        <w:adjustRightInd/>
        <w:spacing w:line="540" w:lineRule="exact"/>
        <w:ind w:firstLine="640" w:firstLineChars="200"/>
        <w:textAlignment w:val="auto"/>
        <w:rPr>
          <w:rFonts w:hint="eastAsia" w:ascii="仿宋_GB2312" w:eastAsia="仿宋_GB2312"/>
          <w:b w:val="0"/>
          <w:bCs w:val="0"/>
          <w:color w:val="auto"/>
          <w:sz w:val="32"/>
          <w:szCs w:val="32"/>
          <w:lang w:val="en-US" w:eastAsia="zh-CN"/>
        </w:rPr>
      </w:pPr>
      <w:r>
        <w:rPr>
          <w:rFonts w:hint="eastAsia" w:ascii="仿宋_GB2312" w:hAnsi="仿宋_GB2312" w:eastAsia="仿宋_GB2312" w:cs="仿宋_GB2312"/>
          <w:b w:val="0"/>
          <w:bCs w:val="0"/>
          <w:color w:val="auto"/>
          <w:kern w:val="0"/>
          <w:sz w:val="32"/>
          <w:szCs w:val="32"/>
          <w:shd w:val="clear" w:color="auto" w:fill="FFFFFF"/>
        </w:rPr>
        <w:t>12.加强城镇燃气</w:t>
      </w:r>
      <w:r>
        <w:rPr>
          <w:rFonts w:hint="eastAsia" w:ascii="仿宋" w:hAnsi="仿宋" w:eastAsia="仿宋" w:cs="仿宋"/>
          <w:b w:val="0"/>
          <w:bCs w:val="0"/>
          <w:color w:val="auto"/>
          <w:kern w:val="0"/>
          <w:sz w:val="32"/>
          <w:szCs w:val="32"/>
          <w:shd w:val="clear" w:color="auto" w:fill="FFFFFF"/>
        </w:rPr>
        <w:t>安全管</w:t>
      </w:r>
      <w:r>
        <w:rPr>
          <w:rFonts w:hint="eastAsia" w:ascii="仿宋_GB2312" w:hAnsi="仿宋_GB2312" w:eastAsia="仿宋_GB2312" w:cs="仿宋_GB2312"/>
          <w:b w:val="0"/>
          <w:bCs w:val="0"/>
          <w:color w:val="auto"/>
          <w:kern w:val="0"/>
          <w:sz w:val="32"/>
          <w:szCs w:val="32"/>
          <w:shd w:val="clear" w:color="auto" w:fill="FFFFFF"/>
        </w:rPr>
        <w:t>理。</w:t>
      </w:r>
      <w:r>
        <w:rPr>
          <w:rFonts w:hint="eastAsia" w:ascii="仿宋_GB2312" w:eastAsia="仿宋_GB2312"/>
          <w:b w:val="0"/>
          <w:bCs w:val="0"/>
          <w:color w:val="auto"/>
          <w:sz w:val="32"/>
          <w:szCs w:val="32"/>
          <w:lang w:val="en-US" w:eastAsia="zh-CN"/>
        </w:rPr>
        <w:t>开展城镇燃气安全排查整治。按照黄山市《城镇燃气安全排查整治实施方案》要求，聚焦燃气经营、餐饮等公共场所、老旧小区、燃气工程、燃气管道设施、燃气器具等六个方面的安全风险和重大隐患，深入细致地开展排查整改，</w:t>
      </w:r>
      <w:r>
        <w:rPr>
          <w:rFonts w:hint="eastAsia" w:ascii="仿宋_GB2312" w:hAnsi="仿宋_GB2312" w:eastAsia="仿宋_GB2312" w:cs="仿宋_GB2312"/>
          <w:b w:val="0"/>
          <w:bCs w:val="0"/>
          <w:color w:val="auto"/>
          <w:kern w:val="0"/>
          <w:sz w:val="32"/>
          <w:szCs w:val="32"/>
          <w:shd w:val="clear" w:color="auto" w:fill="FFFFFF"/>
        </w:rPr>
        <w:t>依法推进非居民用户特别是餐饮企业全部安装燃气报警器、自闭阀。</w:t>
      </w:r>
      <w:r>
        <w:rPr>
          <w:rFonts w:hint="eastAsia" w:ascii="仿宋_GB2312" w:eastAsia="仿宋_GB2312"/>
          <w:b w:val="0"/>
          <w:bCs w:val="0"/>
          <w:color w:val="auto"/>
          <w:sz w:val="32"/>
          <w:szCs w:val="32"/>
          <w:lang w:val="en-US" w:eastAsia="zh-CN"/>
        </w:rPr>
        <w:t>常态化开展燃气安全宣传，坚决打好全县城镇燃气安全排查整治攻坚战。积极争取中央、省、市财政资金支持，推进老旧小区（气化站）燃气管网设施更新改造。落实燃气企业保供责任，加强城镇燃气储气设施能力建设，提升储气能力。</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0"/>
          <w:sz w:val="32"/>
          <w:szCs w:val="32"/>
          <w:shd w:val="clear" w:color="auto" w:fill="FFFFFF"/>
        </w:rPr>
      </w:pPr>
      <w:r>
        <w:rPr>
          <w:rFonts w:hint="eastAsia" w:ascii="仿宋_GB2312" w:hAnsi="仿宋_GB2312" w:eastAsia="仿宋_GB2312" w:cs="仿宋_GB2312"/>
          <w:b w:val="0"/>
          <w:bCs w:val="0"/>
          <w:color w:val="auto"/>
          <w:kern w:val="0"/>
          <w:sz w:val="32"/>
          <w:szCs w:val="32"/>
          <w:shd w:val="clear" w:color="auto" w:fill="FFFFFF"/>
        </w:rPr>
        <w:t>13.加强城市排水防涝工作。</w:t>
      </w:r>
      <w:r>
        <w:rPr>
          <w:rFonts w:hint="eastAsia" w:ascii="仿宋_GB2312" w:eastAsia="仿宋_GB2312"/>
          <w:b w:val="0"/>
          <w:bCs w:val="0"/>
          <w:color w:val="auto"/>
          <w:sz w:val="32"/>
          <w:szCs w:val="32"/>
          <w:lang w:val="en-US" w:eastAsia="zh-CN"/>
        </w:rPr>
        <w:t>实施城市污水管网病害整治、改造更新、破损修复工程。强化污水处理设施规范化运营管理，开展污水处理设施安全运行检查，推动污水处理设施节能降耗。</w:t>
      </w:r>
      <w:r>
        <w:rPr>
          <w:rFonts w:hint="eastAsia" w:ascii="仿宋_GB2312" w:hAnsi="仿宋_GB2312" w:eastAsia="仿宋_GB2312" w:cs="仿宋_GB2312"/>
          <w:b w:val="0"/>
          <w:bCs w:val="0"/>
          <w:color w:val="auto"/>
          <w:kern w:val="0"/>
          <w:sz w:val="32"/>
          <w:szCs w:val="32"/>
          <w:shd w:val="clear" w:color="auto" w:fill="FFFFFF"/>
        </w:rPr>
        <w:t>按照《安徽省城市内涝治理工作指南》确定的保排、摸排、减排、预排、畅排、蓄排、联排、强排、控排“九排治涝”措施，优化内涝治理方案，完善城市排水防涝体系，积极组织做好城市排水防涝汛前准备、汛中防范应对、汛后系统整治等各项工作</w:t>
      </w:r>
      <w:r>
        <w:rPr>
          <w:rFonts w:hint="eastAsia" w:ascii="仿宋_GB2312" w:hAnsi="仿宋_GB2312" w:eastAsia="仿宋_GB2312" w:cs="仿宋_GB2312"/>
          <w:b w:val="0"/>
          <w:bCs w:val="0"/>
          <w:color w:val="auto"/>
          <w:kern w:val="0"/>
          <w:sz w:val="32"/>
          <w:szCs w:val="32"/>
          <w:shd w:val="clear" w:color="auto" w:fill="FFFFFF"/>
          <w:lang w:eastAsia="zh-CN"/>
        </w:rPr>
        <w:t>，</w:t>
      </w:r>
      <w:r>
        <w:rPr>
          <w:rFonts w:hint="eastAsia" w:ascii="仿宋_GB2312" w:eastAsia="仿宋_GB2312"/>
          <w:b w:val="0"/>
          <w:bCs w:val="0"/>
          <w:color w:val="auto"/>
          <w:sz w:val="32"/>
          <w:szCs w:val="32"/>
          <w:lang w:val="en-US" w:eastAsia="zh-CN"/>
        </w:rPr>
        <w:t>做好城市排水系统的维护管理，保障排水通道畅通，做好预警和应急处置工作。</w:t>
      </w:r>
    </w:p>
    <w:p>
      <w:pPr>
        <w:keepNext w:val="0"/>
        <w:keepLines w:val="0"/>
        <w:pageBreakBefore w:val="0"/>
        <w:widowControl/>
        <w:shd w:val="clear" w:color="auto" w:fill="FFFFFF"/>
        <w:kinsoku/>
        <w:wordWrap/>
        <w:overflowPunct/>
        <w:topLinePunct w:val="0"/>
        <w:autoSpaceDN/>
        <w:bidi w:val="0"/>
        <w:adjustRightInd/>
        <w:spacing w:line="540" w:lineRule="exact"/>
        <w:ind w:firstLine="640" w:firstLineChars="200"/>
        <w:textAlignment w:val="auto"/>
        <w:rPr>
          <w:rFonts w:hint="eastAsia" w:ascii="仿宋_GB2312" w:eastAsia="仿宋_GB2312"/>
          <w:b w:val="0"/>
          <w:bCs w:val="0"/>
          <w:color w:val="auto"/>
          <w:sz w:val="32"/>
          <w:szCs w:val="32"/>
          <w:lang w:val="en-US" w:eastAsia="zh-CN"/>
        </w:rPr>
      </w:pPr>
      <w:r>
        <w:rPr>
          <w:rFonts w:hint="eastAsia" w:ascii="仿宋_GB2312" w:hAnsi="仿宋_GB2312" w:eastAsia="仿宋_GB2312" w:cs="仿宋_GB2312"/>
          <w:b w:val="0"/>
          <w:bCs w:val="0"/>
          <w:color w:val="auto"/>
          <w:kern w:val="0"/>
          <w:sz w:val="32"/>
          <w:szCs w:val="32"/>
          <w:shd w:val="clear" w:color="auto" w:fill="FFFFFF"/>
        </w:rPr>
        <w:t>14.强化城市供水规范管理。持续推进城市供水规范化管理评估工作，强化二次供水和应急备用水源管理，完成应急备用水源核查问题整改核验工作。</w:t>
      </w:r>
      <w:r>
        <w:rPr>
          <w:rFonts w:hint="eastAsia" w:ascii="仿宋_GB2312" w:hAnsi="仿宋_GB2312" w:eastAsia="仿宋_GB2312" w:cs="仿宋_GB2312"/>
          <w:b w:val="0"/>
          <w:bCs w:val="0"/>
          <w:color w:val="auto"/>
          <w:kern w:val="0"/>
          <w:sz w:val="32"/>
          <w:szCs w:val="32"/>
          <w:shd w:val="clear" w:color="auto" w:fill="FFFFFF"/>
          <w:lang w:val="en-US" w:eastAsia="zh-CN"/>
        </w:rPr>
        <w:t>严格落实城市公共供水水质管理制度，开展水质抽检，提升供</w:t>
      </w:r>
      <w:r>
        <w:rPr>
          <w:rFonts w:hint="eastAsia" w:ascii="仿宋_GB2312" w:eastAsia="仿宋_GB2312"/>
          <w:b w:val="0"/>
          <w:bCs w:val="0"/>
          <w:color w:val="auto"/>
          <w:sz w:val="32"/>
          <w:szCs w:val="32"/>
          <w:lang w:val="en-US" w:eastAsia="zh-CN"/>
        </w:rPr>
        <w:t>水企业检测能力，规范城市公共供水水质信息公开。督导供水企业落实企业供水生产质量安全责任和优化营商环境服务指导要求。</w:t>
      </w:r>
    </w:p>
    <w:p>
      <w:pPr>
        <w:keepNext w:val="0"/>
        <w:keepLines w:val="0"/>
        <w:pageBreakBefore w:val="0"/>
        <w:kinsoku/>
        <w:wordWrap/>
        <w:overflowPunct/>
        <w:topLinePunct w:val="0"/>
        <w:autoSpaceDE/>
        <w:autoSpaceDN/>
        <w:bidi w:val="0"/>
        <w:adjustRightInd/>
        <w:snapToGrid/>
        <w:spacing w:line="540" w:lineRule="exact"/>
        <w:ind w:firstLine="620" w:firstLineChars="200"/>
        <w:textAlignment w:val="auto"/>
        <w:rPr>
          <w:rFonts w:hint="eastAsia"/>
          <w:color w:val="auto"/>
        </w:rPr>
      </w:pPr>
      <w:r>
        <w:rPr>
          <w:rFonts w:hint="eastAsia" w:ascii="黑体" w:hAnsi="宋体" w:eastAsia="黑体" w:cs="黑体"/>
          <w:color w:val="auto"/>
          <w:sz w:val="31"/>
          <w:szCs w:val="31"/>
          <w:lang w:val="en-US" w:eastAsia="zh-CN"/>
        </w:rPr>
        <w:t>六</w:t>
      </w:r>
      <w:r>
        <w:rPr>
          <w:rFonts w:ascii="黑体" w:hAnsi="宋体" w:eastAsia="黑体" w:cs="黑体"/>
          <w:color w:val="auto"/>
          <w:sz w:val="31"/>
          <w:szCs w:val="31"/>
        </w:rPr>
        <w:t>、强化农村住房安全风险管控</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color w:val="auto"/>
          <w:kern w:val="0"/>
          <w:sz w:val="32"/>
          <w:szCs w:val="32"/>
          <w:shd w:val="clear" w:color="auto" w:fill="FFFFFF"/>
        </w:rPr>
      </w:pPr>
      <w:r>
        <w:rPr>
          <w:rFonts w:hint="eastAsia" w:ascii="仿宋_GB2312" w:hAnsi="Times New Roman" w:eastAsia="仿宋_GB2312" w:cs="Times New Roman"/>
          <w:color w:val="auto"/>
          <w:kern w:val="0"/>
          <w:sz w:val="32"/>
          <w:szCs w:val="32"/>
          <w:lang w:val="en-US" w:eastAsia="zh-CN"/>
        </w:rPr>
        <w:t>15</w:t>
      </w:r>
      <w:r>
        <w:rPr>
          <w:rFonts w:hint="eastAsia" w:ascii="仿宋_GB2312" w:hAnsi="Times New Roman" w:eastAsia="仿宋_GB2312" w:cs="Times New Roman"/>
          <w:color w:val="auto"/>
          <w:kern w:val="0"/>
          <w:sz w:val="32"/>
          <w:szCs w:val="32"/>
        </w:rPr>
        <w:t>.做好农房隐患动态排查工作。以用作经营的农村自建房为重点，深入推进农村房屋安全隐患整</w:t>
      </w:r>
      <w:r>
        <w:rPr>
          <w:rFonts w:hint="eastAsia" w:ascii="仿宋_GB2312" w:hAnsi="仿宋_GB2312" w:eastAsia="仿宋_GB2312" w:cs="仿宋_GB2312"/>
          <w:color w:val="auto"/>
          <w:kern w:val="0"/>
          <w:sz w:val="32"/>
          <w:szCs w:val="32"/>
          <w:shd w:val="clear" w:color="auto" w:fill="FFFFFF"/>
        </w:rPr>
        <w:t>治。建立“农户日常自查、镇村定期排查、县级随机抽查、市</w:t>
      </w:r>
      <w:r>
        <w:rPr>
          <w:rFonts w:hint="eastAsia" w:ascii="仿宋_GB2312" w:hAnsi="仿宋_GB2312" w:eastAsia="仿宋_GB2312" w:cs="仿宋_GB2312"/>
          <w:color w:val="auto"/>
          <w:kern w:val="0"/>
          <w:sz w:val="32"/>
          <w:szCs w:val="32"/>
          <w:shd w:val="clear" w:color="auto" w:fill="FFFFFF"/>
          <w:lang w:eastAsia="zh-CN"/>
        </w:rPr>
        <w:t>级</w:t>
      </w:r>
      <w:r>
        <w:rPr>
          <w:rFonts w:hint="eastAsia" w:ascii="仿宋_GB2312" w:hAnsi="仿宋_GB2312" w:eastAsia="仿宋_GB2312" w:cs="仿宋_GB2312"/>
          <w:color w:val="auto"/>
          <w:kern w:val="0"/>
          <w:sz w:val="32"/>
          <w:szCs w:val="32"/>
          <w:shd w:val="clear" w:color="auto" w:fill="FFFFFF"/>
        </w:rPr>
        <w:t>监督检查”的动态监测管理体系。推进农房安全隐患全面整治，落实属地责任和行业监管责任。坚持“谁拥有谁负责、谁使用谁负责”的要求，引导群众自行开展整治。</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40" w:lineRule="exact"/>
        <w:ind w:left="0" w:right="0" w:firstLine="640" w:firstLineChars="200"/>
        <w:jc w:val="both"/>
        <w:textAlignment w:val="auto"/>
        <w:rPr>
          <w:rFonts w:hint="eastAsia"/>
          <w:color w:val="auto"/>
        </w:rPr>
      </w:pPr>
      <w:r>
        <w:rPr>
          <w:rFonts w:hint="eastAsia" w:ascii="仿宋_GB2312" w:hAnsi="Calibri" w:eastAsia="仿宋_GB2312" w:cs="仿宋_GB2312"/>
          <w:bCs/>
          <w:color w:val="auto"/>
          <w:kern w:val="2"/>
          <w:sz w:val="32"/>
          <w:szCs w:val="32"/>
          <w:lang w:val="en-US" w:eastAsia="zh-CN" w:bidi="ar"/>
        </w:rPr>
        <w:t>16.扎实推进农村危房改造。完成新增6户农村危房改造任务，在保持政策稳定性、延续性的基础上调整优化，继续做好我市农村易返贫致贫户、农村低保户、农村分散供养特困人员、因病因灾因意外事故等刚性支出较大或收入大幅度缩减导致基本生活出现严重困难家庭、其他脱贫户、农村低保边缘户等农村低收入群体住房安全保障工作，实现巩固拓展脱贫攻坚成果同乡村振兴有效衔接，做到“应排尽排、应改尽改”，排查出符合农村危房改造的对象立即实施，实现“动态清零”，确保低收入群体住房安全有保障。有序推进农村房屋安全隐患排查整治工作，消除农村房屋重大安全风险隐患，切实提高农房建设质量安全。</w:t>
      </w:r>
    </w:p>
    <w:p>
      <w:pPr>
        <w:keepNext w:val="0"/>
        <w:keepLines w:val="0"/>
        <w:pageBreakBefore w:val="0"/>
        <w:widowControl/>
        <w:shd w:val="clear" w:color="auto" w:fill="FFFFFF"/>
        <w:kinsoku/>
        <w:wordWrap/>
        <w:overflowPunct/>
        <w:topLinePunct w:val="0"/>
        <w:autoSpaceDN/>
        <w:bidi w:val="0"/>
        <w:adjustRightInd/>
        <w:spacing w:line="540" w:lineRule="exact"/>
        <w:ind w:firstLine="640" w:firstLineChars="200"/>
        <w:textAlignment w:val="auto"/>
        <w:rPr>
          <w:rFonts w:ascii="Times New Roman" w:hAnsi="Times New Roman" w:eastAsia="宋体" w:cs="Times New Roman"/>
          <w:color w:val="000000"/>
          <w:kern w:val="0"/>
          <w:szCs w:val="21"/>
        </w:rPr>
      </w:pPr>
      <w:r>
        <w:rPr>
          <w:rFonts w:hint="eastAsia" w:ascii="黑体" w:hAnsi="宋体" w:eastAsia="黑体" w:cs="黑体"/>
          <w:color w:val="000000"/>
          <w:kern w:val="0"/>
          <w:sz w:val="32"/>
          <w:szCs w:val="32"/>
          <w:shd w:val="clear" w:color="auto" w:fill="FFFFFF"/>
          <w:lang w:val="en-US" w:eastAsia="zh-CN"/>
        </w:rPr>
        <w:t>七</w:t>
      </w:r>
      <w:r>
        <w:rPr>
          <w:rFonts w:hint="eastAsia" w:ascii="黑体" w:hAnsi="宋体" w:eastAsia="黑体" w:cs="黑体"/>
          <w:color w:val="000000"/>
          <w:kern w:val="0"/>
          <w:sz w:val="32"/>
          <w:szCs w:val="32"/>
          <w:shd w:val="clear" w:color="auto" w:fill="FFFFFF"/>
        </w:rPr>
        <w:t>、健全安全管理体制机制</w:t>
      </w:r>
    </w:p>
    <w:p>
      <w:pPr>
        <w:keepNext w:val="0"/>
        <w:keepLines w:val="0"/>
        <w:pageBreakBefore w:val="0"/>
        <w:widowControl/>
        <w:shd w:val="clear" w:color="auto" w:fill="FFFFFF"/>
        <w:kinsoku/>
        <w:wordWrap/>
        <w:overflowPunct/>
        <w:topLinePunct w:val="0"/>
        <w:autoSpaceDN/>
        <w:bidi w:val="0"/>
        <w:adjustRightInd/>
        <w:spacing w:line="540" w:lineRule="exact"/>
        <w:ind w:firstLine="640" w:firstLineChars="200"/>
        <w:textAlignment w:val="auto"/>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val="en-US" w:eastAsia="zh-CN"/>
        </w:rPr>
        <w:t>17</w:t>
      </w:r>
      <w:r>
        <w:rPr>
          <w:rFonts w:hint="eastAsia" w:ascii="仿宋_GB2312" w:hAnsi="仿宋_GB2312" w:eastAsia="仿宋_GB2312" w:cs="仿宋_GB2312"/>
          <w:color w:val="000000"/>
          <w:kern w:val="0"/>
          <w:sz w:val="32"/>
          <w:szCs w:val="32"/>
          <w:shd w:val="clear" w:color="auto" w:fill="FFFFFF"/>
        </w:rPr>
        <w:t>.深推“四个工地”建设。持续深入推进“四个工地”</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eastAsia="仿宋_GB2312"/>
          <w:bCs/>
          <w:color w:val="auto"/>
          <w:sz w:val="32"/>
          <w:szCs w:val="32"/>
          <w:lang w:val="en-US"/>
        </w:rPr>
        <w:t>“红色工地”</w:t>
      </w:r>
      <w:r>
        <w:rPr>
          <w:rFonts w:hint="eastAsia" w:ascii="仿宋_GB2312" w:eastAsia="仿宋_GB2312"/>
          <w:bCs/>
          <w:color w:val="auto"/>
          <w:sz w:val="32"/>
          <w:szCs w:val="32"/>
          <w:lang w:val="en-US" w:eastAsia="zh-CN"/>
        </w:rPr>
        <w:t>、</w:t>
      </w:r>
      <w:r>
        <w:rPr>
          <w:rFonts w:hint="eastAsia" w:ascii="仿宋_GB2312" w:eastAsia="仿宋_GB2312"/>
          <w:bCs/>
          <w:color w:val="auto"/>
          <w:sz w:val="32"/>
          <w:szCs w:val="32"/>
          <w:lang w:val="en-US"/>
        </w:rPr>
        <w:t>“绿色工地”</w:t>
      </w:r>
      <w:r>
        <w:rPr>
          <w:rFonts w:hint="eastAsia" w:ascii="仿宋_GB2312" w:eastAsia="仿宋_GB2312"/>
          <w:bCs/>
          <w:color w:val="auto"/>
          <w:sz w:val="32"/>
          <w:szCs w:val="32"/>
          <w:lang w:val="en-US" w:eastAsia="zh-CN"/>
        </w:rPr>
        <w:t>、</w:t>
      </w:r>
      <w:r>
        <w:rPr>
          <w:rFonts w:hint="eastAsia" w:ascii="仿宋_GB2312" w:eastAsia="仿宋_GB2312"/>
          <w:bCs/>
          <w:color w:val="auto"/>
          <w:sz w:val="32"/>
          <w:szCs w:val="32"/>
          <w:lang w:val="en-US"/>
        </w:rPr>
        <w:t>“智慧工地”</w:t>
      </w:r>
      <w:r>
        <w:rPr>
          <w:rFonts w:hint="eastAsia" w:ascii="仿宋_GB2312" w:eastAsia="仿宋_GB2312"/>
          <w:bCs/>
          <w:color w:val="auto"/>
          <w:sz w:val="32"/>
          <w:szCs w:val="32"/>
          <w:lang w:val="en-US" w:eastAsia="zh-CN"/>
        </w:rPr>
        <w:t>、</w:t>
      </w:r>
      <w:r>
        <w:rPr>
          <w:rFonts w:hint="eastAsia" w:ascii="仿宋_GB2312" w:eastAsia="仿宋_GB2312"/>
          <w:bCs/>
          <w:color w:val="auto"/>
          <w:sz w:val="32"/>
          <w:szCs w:val="32"/>
          <w:lang w:val="en-US"/>
        </w:rPr>
        <w:t>“安心工地”</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建设，积极引导企业开展试点，引导、培育、扶持试点项目，多形式、多渠道加强宣传推广，</w:t>
      </w:r>
      <w:r>
        <w:rPr>
          <w:rFonts w:ascii="仿宋_GB2312" w:hAnsi="仿宋_GB2312" w:eastAsia="仿宋_GB2312" w:cs="仿宋_GB2312"/>
          <w:color w:val="000000"/>
          <w:kern w:val="0"/>
          <w:sz w:val="32"/>
          <w:szCs w:val="32"/>
          <w:shd w:val="clear" w:color="auto" w:fill="FFFFFF"/>
        </w:rPr>
        <w:t>加强对“</w:t>
      </w:r>
      <w:r>
        <w:rPr>
          <w:rFonts w:hint="eastAsia" w:ascii="仿宋_GB2312" w:hAnsi="仿宋_GB2312" w:eastAsia="仿宋_GB2312" w:cs="仿宋_GB2312"/>
          <w:color w:val="000000"/>
          <w:kern w:val="0"/>
          <w:sz w:val="32"/>
          <w:szCs w:val="32"/>
          <w:shd w:val="clear" w:color="auto" w:fill="FFFFFF"/>
        </w:rPr>
        <w:t>四个</w:t>
      </w:r>
      <w:r>
        <w:rPr>
          <w:rFonts w:ascii="仿宋_GB2312" w:hAnsi="仿宋_GB2312" w:eastAsia="仿宋_GB2312" w:cs="仿宋_GB2312"/>
          <w:color w:val="000000"/>
          <w:kern w:val="0"/>
          <w:sz w:val="32"/>
          <w:szCs w:val="32"/>
          <w:shd w:val="clear" w:color="auto" w:fill="FFFFFF"/>
        </w:rPr>
        <w:t>工地”建设工作进度和效果的检查和督导，及时总结可借鉴、可复制、可推广的经验做法，以工地的转型引领建设工程质量安全</w:t>
      </w:r>
      <w:r>
        <w:rPr>
          <w:rFonts w:hint="eastAsia" w:ascii="仿宋_GB2312" w:hAnsi="仿宋_GB2312" w:eastAsia="仿宋_GB2312" w:cs="仿宋_GB2312"/>
          <w:color w:val="000000"/>
          <w:kern w:val="0"/>
          <w:sz w:val="32"/>
          <w:szCs w:val="32"/>
          <w:shd w:val="clear" w:color="auto" w:fill="FFFFFF"/>
        </w:rPr>
        <w:t>水平提升。</w:t>
      </w:r>
    </w:p>
    <w:p>
      <w:pPr>
        <w:keepNext w:val="0"/>
        <w:keepLines w:val="0"/>
        <w:pageBreakBefore w:val="0"/>
        <w:widowControl/>
        <w:shd w:val="clear" w:color="auto" w:fill="FFFFFF"/>
        <w:kinsoku/>
        <w:wordWrap/>
        <w:overflowPunct/>
        <w:topLinePunct w:val="0"/>
        <w:autoSpaceDN/>
        <w:bidi w:val="0"/>
        <w:adjustRightInd/>
        <w:spacing w:line="540" w:lineRule="exac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val="en-US" w:eastAsia="zh-CN"/>
        </w:rPr>
        <w:t>18</w:t>
      </w:r>
      <w:r>
        <w:rPr>
          <w:rFonts w:hint="eastAsia" w:ascii="仿宋_GB2312" w:hAnsi="仿宋_GB2312" w:eastAsia="仿宋_GB2312" w:cs="仿宋_GB2312"/>
          <w:color w:val="000000"/>
          <w:kern w:val="0"/>
          <w:sz w:val="32"/>
          <w:szCs w:val="32"/>
          <w:shd w:val="clear" w:color="auto" w:fill="FFFFFF"/>
        </w:rPr>
        <w:t>.抓牢安全生产教育培训。开展“安全生产月”“防灾减灾日”等活动，积极推进安全宣传进企业（进工地）、进农村、进社区、进学校、进家庭，宣传普及住房城乡建设领域安全生产法律法规和安全防范常识。强化建筑施工企业“安管人员”和特种作业人员培训考核，提升人员安全操作技能。</w:t>
      </w:r>
    </w:p>
    <w:p>
      <w:pPr>
        <w:keepNext w:val="0"/>
        <w:keepLines w:val="0"/>
        <w:pageBreakBefore w:val="0"/>
        <w:widowControl/>
        <w:shd w:val="clear" w:color="auto" w:fill="FFFFFF"/>
        <w:kinsoku/>
        <w:wordWrap/>
        <w:overflowPunct/>
        <w:topLinePunct w:val="0"/>
        <w:autoSpaceDN/>
        <w:bidi w:val="0"/>
        <w:adjustRightInd/>
        <w:spacing w:line="540" w:lineRule="exact"/>
        <w:ind w:firstLine="640" w:firstLineChars="200"/>
        <w:textAlignment w:val="auto"/>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val="en-US" w:eastAsia="zh-CN"/>
        </w:rPr>
        <w:t>19</w:t>
      </w:r>
      <w:r>
        <w:rPr>
          <w:rFonts w:hint="eastAsia" w:ascii="仿宋_GB2312" w:hAnsi="仿宋_GB2312" w:eastAsia="仿宋_GB2312" w:cs="仿宋_GB2312"/>
          <w:color w:val="000000"/>
          <w:kern w:val="0"/>
          <w:sz w:val="32"/>
          <w:szCs w:val="32"/>
          <w:shd w:val="clear" w:color="auto" w:fill="FFFFFF"/>
        </w:rPr>
        <w:t>.提升应急救援处置能力。严格落实《安徽省突发事件总体应急预案》</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w:t>
      </w:r>
      <w:r>
        <w:rPr>
          <w:rFonts w:ascii="仿宋_GB2312" w:hAnsi="仿宋_GB2312" w:eastAsia="仿宋_GB2312" w:cs="仿宋_GB2312"/>
          <w:color w:val="000000"/>
          <w:kern w:val="0"/>
          <w:sz w:val="32"/>
          <w:szCs w:val="32"/>
          <w:shd w:val="clear" w:color="auto" w:fill="FFFFFF"/>
        </w:rPr>
        <w:t>安徽省应对重大气象灾害部门应急联动和社会响应机制暂行规定》</w:t>
      </w:r>
      <w:r>
        <w:rPr>
          <w:rFonts w:hint="eastAsia" w:ascii="仿宋_GB2312" w:hAnsi="仿宋_GB2312" w:eastAsia="仿宋_GB2312" w:cs="仿宋_GB2312"/>
          <w:color w:val="000000"/>
          <w:kern w:val="0"/>
          <w:sz w:val="32"/>
          <w:szCs w:val="32"/>
          <w:shd w:val="clear" w:color="auto" w:fill="FFFFFF"/>
        </w:rPr>
        <w:t>等要求，</w:t>
      </w:r>
      <w:r>
        <w:rPr>
          <w:rFonts w:ascii="仿宋_GB2312" w:hAnsi="仿宋_GB2312" w:eastAsia="仿宋_GB2312" w:cs="仿宋_GB2312"/>
          <w:color w:val="000000"/>
          <w:kern w:val="0"/>
          <w:sz w:val="32"/>
          <w:szCs w:val="32"/>
          <w:shd w:val="clear" w:color="auto" w:fill="FFFFFF"/>
        </w:rPr>
        <w:t>进一步完善住房城乡建设</w:t>
      </w:r>
      <w:r>
        <w:rPr>
          <w:rFonts w:hint="eastAsia" w:ascii="仿宋_GB2312" w:hAnsi="仿宋_GB2312" w:eastAsia="仿宋_GB2312" w:cs="仿宋_GB2312"/>
          <w:color w:val="000000"/>
          <w:kern w:val="0"/>
          <w:sz w:val="32"/>
          <w:szCs w:val="32"/>
          <w:shd w:val="clear" w:color="auto" w:fill="FFFFFF"/>
        </w:rPr>
        <w:t>领域</w:t>
      </w:r>
      <w:r>
        <w:rPr>
          <w:rFonts w:ascii="仿宋_GB2312" w:hAnsi="仿宋_GB2312" w:eastAsia="仿宋_GB2312" w:cs="仿宋_GB2312"/>
          <w:color w:val="000000"/>
          <w:kern w:val="0"/>
          <w:sz w:val="32"/>
          <w:szCs w:val="32"/>
          <w:shd w:val="clear" w:color="auto" w:fill="FFFFFF"/>
        </w:rPr>
        <w:t>防灾减灾</w:t>
      </w:r>
      <w:r>
        <w:rPr>
          <w:rFonts w:hint="eastAsia" w:ascii="仿宋_GB2312" w:hAnsi="仿宋_GB2312" w:eastAsia="仿宋_GB2312" w:cs="仿宋_GB2312"/>
          <w:color w:val="000000"/>
          <w:kern w:val="0"/>
          <w:sz w:val="32"/>
          <w:szCs w:val="32"/>
          <w:shd w:val="clear" w:color="auto" w:fill="FFFFFF"/>
        </w:rPr>
        <w:t>救灾应急</w:t>
      </w:r>
      <w:r>
        <w:rPr>
          <w:rFonts w:ascii="仿宋_GB2312" w:hAnsi="仿宋_GB2312" w:eastAsia="仿宋_GB2312" w:cs="仿宋_GB2312"/>
          <w:color w:val="000000"/>
          <w:kern w:val="0"/>
          <w:sz w:val="32"/>
          <w:szCs w:val="32"/>
          <w:shd w:val="clear" w:color="auto" w:fill="FFFFFF"/>
        </w:rPr>
        <w:t>工作机制，</w:t>
      </w:r>
      <w:r>
        <w:rPr>
          <w:rFonts w:hint="eastAsia" w:ascii="仿宋_GB2312" w:hAnsi="仿宋_GB2312" w:eastAsia="仿宋_GB2312" w:cs="仿宋_GB2312"/>
          <w:color w:val="000000"/>
          <w:kern w:val="0"/>
          <w:sz w:val="32"/>
          <w:szCs w:val="32"/>
          <w:shd w:val="clear" w:color="auto" w:fill="FFFFFF"/>
        </w:rPr>
        <w:t>督导相关单位和企业及时填报应急信息资源，加强应急队伍建设，加大应急物资储备，开展应急演练和</w:t>
      </w:r>
      <w:r>
        <w:rPr>
          <w:rFonts w:ascii="仿宋_GB2312" w:hAnsi="仿宋_GB2312" w:eastAsia="仿宋_GB2312" w:cs="仿宋_GB2312"/>
          <w:color w:val="000000"/>
          <w:kern w:val="0"/>
          <w:sz w:val="32"/>
          <w:szCs w:val="32"/>
          <w:shd w:val="clear" w:color="auto" w:fill="FFFFFF"/>
        </w:rPr>
        <w:t>培训，提高突发事件</w:t>
      </w:r>
      <w:r>
        <w:rPr>
          <w:rFonts w:hint="eastAsia" w:ascii="仿宋_GB2312" w:hAnsi="仿宋_GB2312" w:eastAsia="仿宋_GB2312" w:cs="仿宋_GB2312"/>
          <w:color w:val="000000"/>
          <w:kern w:val="0"/>
          <w:sz w:val="32"/>
          <w:szCs w:val="32"/>
          <w:shd w:val="clear" w:color="auto" w:fill="FFFFFF"/>
        </w:rPr>
        <w:t>和公共安全</w:t>
      </w:r>
      <w:r>
        <w:rPr>
          <w:rFonts w:ascii="仿宋_GB2312" w:hAnsi="仿宋_GB2312" w:eastAsia="仿宋_GB2312" w:cs="仿宋_GB2312"/>
          <w:color w:val="000000"/>
          <w:kern w:val="0"/>
          <w:sz w:val="32"/>
          <w:szCs w:val="32"/>
          <w:shd w:val="clear" w:color="auto" w:fill="FFFFFF"/>
        </w:rPr>
        <w:t>应对能力。严格落实事故</w:t>
      </w:r>
      <w:r>
        <w:rPr>
          <w:rFonts w:hint="eastAsia" w:ascii="仿宋_GB2312" w:hAnsi="仿宋_GB2312" w:eastAsia="仿宋_GB2312" w:cs="仿宋_GB2312"/>
          <w:color w:val="000000"/>
          <w:kern w:val="0"/>
          <w:sz w:val="32"/>
          <w:szCs w:val="32"/>
          <w:shd w:val="clear" w:color="auto" w:fill="FFFFFF"/>
        </w:rPr>
        <w:t>信息</w:t>
      </w:r>
      <w:r>
        <w:rPr>
          <w:rFonts w:ascii="仿宋_GB2312" w:hAnsi="仿宋_GB2312" w:eastAsia="仿宋_GB2312" w:cs="仿宋_GB2312"/>
          <w:color w:val="000000"/>
          <w:kern w:val="0"/>
          <w:sz w:val="32"/>
          <w:szCs w:val="32"/>
          <w:shd w:val="clear" w:color="auto" w:fill="FFFFFF"/>
        </w:rPr>
        <w:t>报告制度，畅通信息和</w:t>
      </w:r>
      <w:r>
        <w:rPr>
          <w:rFonts w:hint="eastAsia" w:ascii="仿宋_GB2312" w:hAnsi="仿宋_GB2312" w:eastAsia="仿宋_GB2312" w:cs="仿宋_GB2312"/>
          <w:color w:val="000000"/>
          <w:kern w:val="0"/>
          <w:sz w:val="32"/>
          <w:szCs w:val="32"/>
          <w:shd w:val="clear" w:color="auto" w:fill="FFFFFF"/>
        </w:rPr>
        <w:t>通信</w:t>
      </w:r>
      <w:r>
        <w:rPr>
          <w:rFonts w:ascii="仿宋_GB2312" w:hAnsi="仿宋_GB2312" w:eastAsia="仿宋_GB2312" w:cs="仿宋_GB2312"/>
          <w:color w:val="000000"/>
          <w:kern w:val="0"/>
          <w:sz w:val="32"/>
          <w:szCs w:val="32"/>
          <w:shd w:val="clear" w:color="auto" w:fill="FFFFFF"/>
        </w:rPr>
        <w:t>渠道，及时</w:t>
      </w:r>
      <w:r>
        <w:rPr>
          <w:rFonts w:hint="eastAsia" w:ascii="仿宋_GB2312" w:hAnsi="仿宋_GB2312" w:eastAsia="仿宋_GB2312" w:cs="仿宋_GB2312"/>
          <w:color w:val="000000"/>
          <w:kern w:val="0"/>
          <w:sz w:val="32"/>
          <w:szCs w:val="32"/>
          <w:shd w:val="clear" w:color="auto" w:fill="FFFFFF"/>
        </w:rPr>
        <w:t>核实</w:t>
      </w:r>
      <w:r>
        <w:rPr>
          <w:rFonts w:ascii="仿宋_GB2312" w:hAnsi="仿宋_GB2312" w:eastAsia="仿宋_GB2312" w:cs="仿宋_GB2312"/>
          <w:color w:val="000000"/>
          <w:kern w:val="0"/>
          <w:sz w:val="32"/>
          <w:szCs w:val="32"/>
          <w:shd w:val="clear" w:color="auto" w:fill="FFFFFF"/>
        </w:rPr>
        <w:t>、上</w:t>
      </w:r>
      <w:r>
        <w:rPr>
          <w:rFonts w:hint="eastAsia" w:ascii="仿宋_GB2312" w:hAnsi="仿宋_GB2312" w:eastAsia="仿宋_GB2312" w:cs="仿宋_GB2312"/>
          <w:color w:val="000000"/>
          <w:kern w:val="0"/>
          <w:sz w:val="32"/>
          <w:szCs w:val="32"/>
          <w:shd w:val="clear" w:color="auto" w:fill="FFFFFF"/>
        </w:rPr>
        <w:t>报</w:t>
      </w:r>
      <w:r>
        <w:rPr>
          <w:rFonts w:ascii="仿宋_GB2312" w:hAnsi="仿宋_GB2312" w:eastAsia="仿宋_GB2312" w:cs="仿宋_GB2312"/>
          <w:color w:val="000000"/>
          <w:kern w:val="0"/>
          <w:sz w:val="32"/>
          <w:szCs w:val="32"/>
          <w:shd w:val="clear" w:color="auto" w:fill="FFFFFF"/>
        </w:rPr>
        <w:t>有关信息。密切关注极端天气和</w:t>
      </w:r>
      <w:r>
        <w:rPr>
          <w:rFonts w:hint="eastAsia" w:ascii="仿宋_GB2312" w:hAnsi="仿宋_GB2312" w:eastAsia="仿宋_GB2312" w:cs="仿宋_GB2312"/>
          <w:color w:val="000000"/>
          <w:kern w:val="0"/>
          <w:sz w:val="32"/>
          <w:szCs w:val="32"/>
          <w:shd w:val="clear" w:color="auto" w:fill="FFFFFF"/>
        </w:rPr>
        <w:t>地震</w:t>
      </w:r>
      <w:r>
        <w:rPr>
          <w:rFonts w:ascii="仿宋_GB2312" w:hAnsi="仿宋_GB2312" w:eastAsia="仿宋_GB2312" w:cs="仿宋_GB2312"/>
          <w:color w:val="000000"/>
          <w:kern w:val="0"/>
          <w:sz w:val="32"/>
          <w:szCs w:val="32"/>
          <w:shd w:val="clear" w:color="auto" w:fill="FFFFFF"/>
        </w:rPr>
        <w:t>等灾害，关注安全生产相关</w:t>
      </w:r>
      <w:r>
        <w:rPr>
          <w:rFonts w:hint="eastAsia" w:ascii="仿宋_GB2312" w:hAnsi="仿宋_GB2312" w:eastAsia="仿宋_GB2312" w:cs="仿宋_GB2312"/>
          <w:color w:val="000000"/>
          <w:kern w:val="0"/>
          <w:sz w:val="32"/>
          <w:szCs w:val="32"/>
          <w:shd w:val="clear" w:color="auto" w:fill="FFFFFF"/>
        </w:rPr>
        <w:t>舆情</w:t>
      </w:r>
      <w:r>
        <w:rPr>
          <w:rFonts w:ascii="仿宋_GB2312" w:hAnsi="仿宋_GB2312" w:eastAsia="仿宋_GB2312" w:cs="仿宋_GB2312"/>
          <w:color w:val="000000"/>
          <w:kern w:val="0"/>
          <w:sz w:val="32"/>
          <w:szCs w:val="32"/>
          <w:shd w:val="clear" w:color="auto" w:fill="FFFFFF"/>
        </w:rPr>
        <w:t>动向，及时了解、</w:t>
      </w:r>
      <w:r>
        <w:rPr>
          <w:rFonts w:hint="eastAsia" w:ascii="仿宋_GB2312" w:hAnsi="仿宋_GB2312" w:eastAsia="仿宋_GB2312" w:cs="仿宋_GB2312"/>
          <w:color w:val="000000"/>
          <w:kern w:val="0"/>
          <w:sz w:val="32"/>
          <w:szCs w:val="32"/>
          <w:shd w:val="clear" w:color="auto" w:fill="FFFFFF"/>
        </w:rPr>
        <w:t>发布预警</w:t>
      </w:r>
      <w:r>
        <w:rPr>
          <w:rFonts w:ascii="仿宋_GB2312" w:hAnsi="仿宋_GB2312" w:eastAsia="仿宋_GB2312" w:cs="仿宋_GB2312"/>
          <w:color w:val="000000"/>
          <w:kern w:val="0"/>
          <w:sz w:val="32"/>
          <w:szCs w:val="32"/>
          <w:shd w:val="clear" w:color="auto" w:fill="FFFFFF"/>
        </w:rPr>
        <w:t>信息，做好安全</w:t>
      </w:r>
      <w:r>
        <w:rPr>
          <w:rFonts w:hint="eastAsia" w:ascii="仿宋_GB2312" w:hAnsi="仿宋_GB2312" w:eastAsia="仿宋_GB2312" w:cs="仿宋_GB2312"/>
          <w:color w:val="000000"/>
          <w:kern w:val="0"/>
          <w:sz w:val="32"/>
          <w:szCs w:val="32"/>
          <w:shd w:val="clear" w:color="auto" w:fill="FFFFFF"/>
        </w:rPr>
        <w:t>防范</w:t>
      </w:r>
      <w:r>
        <w:rPr>
          <w:rFonts w:ascii="仿宋_GB2312" w:hAnsi="仿宋_GB2312" w:eastAsia="仿宋_GB2312" w:cs="仿宋_GB2312"/>
          <w:color w:val="000000"/>
          <w:kern w:val="0"/>
          <w:sz w:val="32"/>
          <w:szCs w:val="32"/>
          <w:shd w:val="clear" w:color="auto" w:fill="FFFFFF"/>
        </w:rPr>
        <w:t>。加</w:t>
      </w:r>
      <w:r>
        <w:rPr>
          <w:rFonts w:hint="eastAsia" w:ascii="仿宋_GB2312" w:hAnsi="仿宋_GB2312" w:eastAsia="仿宋_GB2312" w:cs="仿宋_GB2312"/>
          <w:color w:val="000000"/>
          <w:kern w:val="0"/>
          <w:sz w:val="32"/>
          <w:szCs w:val="32"/>
          <w:shd w:val="clear" w:color="auto" w:fill="FFFFFF"/>
        </w:rPr>
        <w:t>强</w:t>
      </w:r>
      <w:r>
        <w:rPr>
          <w:rFonts w:ascii="仿宋_GB2312" w:hAnsi="仿宋_GB2312" w:eastAsia="仿宋_GB2312" w:cs="仿宋_GB2312"/>
          <w:color w:val="000000"/>
          <w:kern w:val="0"/>
          <w:sz w:val="32"/>
          <w:szCs w:val="32"/>
          <w:shd w:val="clear" w:color="auto" w:fill="FFFFFF"/>
        </w:rPr>
        <w:t>与应急等部门联系和配合，发生事故灾害第一</w:t>
      </w:r>
      <w:r>
        <w:rPr>
          <w:rFonts w:hint="eastAsia" w:ascii="仿宋_GB2312" w:hAnsi="仿宋_GB2312" w:eastAsia="仿宋_GB2312" w:cs="仿宋_GB2312"/>
          <w:color w:val="000000"/>
          <w:kern w:val="0"/>
          <w:sz w:val="32"/>
          <w:szCs w:val="32"/>
          <w:shd w:val="clear" w:color="auto" w:fill="FFFFFF"/>
        </w:rPr>
        <w:t>时间</w:t>
      </w:r>
      <w:r>
        <w:rPr>
          <w:rFonts w:ascii="仿宋_GB2312" w:hAnsi="仿宋_GB2312" w:eastAsia="仿宋_GB2312" w:cs="仿宋_GB2312"/>
          <w:color w:val="000000"/>
          <w:kern w:val="0"/>
          <w:sz w:val="32"/>
          <w:szCs w:val="32"/>
          <w:shd w:val="clear" w:color="auto" w:fill="FFFFFF"/>
        </w:rPr>
        <w:t>应对</w:t>
      </w:r>
      <w:r>
        <w:rPr>
          <w:rFonts w:hint="eastAsia" w:ascii="仿宋_GB2312" w:hAnsi="仿宋_GB2312" w:eastAsia="仿宋_GB2312" w:cs="仿宋_GB2312"/>
          <w:color w:val="000000"/>
          <w:kern w:val="0"/>
          <w:sz w:val="32"/>
          <w:szCs w:val="32"/>
          <w:shd w:val="clear" w:color="auto" w:fill="FFFFFF"/>
        </w:rPr>
        <w:t>处置</w:t>
      </w:r>
      <w:r>
        <w:rPr>
          <w:rFonts w:ascii="仿宋_GB2312" w:hAnsi="仿宋_GB2312" w:eastAsia="仿宋_GB2312" w:cs="仿宋_GB2312"/>
          <w:color w:val="000000"/>
          <w:kern w:val="0"/>
          <w:sz w:val="32"/>
          <w:szCs w:val="32"/>
          <w:shd w:val="clear" w:color="auto" w:fill="FFFFFF"/>
        </w:rPr>
        <w:t>，做好现场指导</w:t>
      </w:r>
      <w:r>
        <w:rPr>
          <w:rFonts w:hint="eastAsia" w:ascii="仿宋_GB2312" w:hAnsi="仿宋_GB2312" w:eastAsia="仿宋_GB2312" w:cs="仿宋_GB2312"/>
          <w:color w:val="000000"/>
          <w:kern w:val="0"/>
          <w:sz w:val="32"/>
          <w:szCs w:val="32"/>
          <w:shd w:val="clear" w:color="auto" w:fill="FFFFFF"/>
        </w:rPr>
        <w:t>。严格执行领导干部到岗带班、关键岗位24小时值班制度，</w:t>
      </w:r>
      <w:r>
        <w:rPr>
          <w:rFonts w:ascii="仿宋_GB2312" w:hAnsi="仿宋_GB2312" w:eastAsia="仿宋_GB2312" w:cs="仿宋_GB2312"/>
          <w:color w:val="000000"/>
          <w:kern w:val="0"/>
          <w:sz w:val="32"/>
          <w:szCs w:val="32"/>
          <w:shd w:val="clear" w:color="auto" w:fill="FFFFFF"/>
        </w:rPr>
        <w:t>全力保障人民群众生命财产安全和社会稳定。</w:t>
      </w:r>
    </w:p>
    <w:p>
      <w:pPr>
        <w:keepNext w:val="0"/>
        <w:keepLines w:val="0"/>
        <w:pageBreakBefore w:val="0"/>
        <w:widowControl/>
        <w:shd w:val="clear" w:color="auto" w:fill="FFFFFF"/>
        <w:kinsoku/>
        <w:wordWrap/>
        <w:overflowPunct/>
        <w:topLinePunct w:val="0"/>
        <w:autoSpaceDN/>
        <w:bidi w:val="0"/>
        <w:adjustRightInd/>
        <w:spacing w:line="540" w:lineRule="exact"/>
        <w:ind w:firstLine="640" w:firstLineChars="200"/>
        <w:textAlignment w:val="auto"/>
      </w:pPr>
      <w:r>
        <w:rPr>
          <w:rFonts w:hint="eastAsia" w:ascii="仿宋_GB2312" w:hAnsi="仿宋_GB2312" w:eastAsia="仿宋_GB2312" w:cs="仿宋_GB2312"/>
          <w:color w:val="000000"/>
          <w:kern w:val="0"/>
          <w:sz w:val="32"/>
          <w:szCs w:val="32"/>
          <w:shd w:val="clear" w:color="auto" w:fill="FFFFFF"/>
        </w:rPr>
        <w:t>2</w:t>
      </w:r>
      <w:r>
        <w:rPr>
          <w:rFonts w:hint="eastAsia" w:ascii="仿宋_GB2312" w:hAnsi="仿宋_GB2312" w:eastAsia="仿宋_GB2312" w:cs="仿宋_GB2312"/>
          <w:color w:val="000000"/>
          <w:kern w:val="0"/>
          <w:sz w:val="32"/>
          <w:szCs w:val="32"/>
          <w:shd w:val="clear" w:color="auto" w:fill="FFFFFF"/>
          <w:lang w:val="en-US" w:eastAsia="zh-CN"/>
        </w:rPr>
        <w:t>0</w:t>
      </w:r>
      <w:r>
        <w:rPr>
          <w:rFonts w:hint="eastAsia" w:ascii="仿宋_GB2312" w:hAnsi="仿宋_GB2312" w:eastAsia="仿宋_GB2312" w:cs="仿宋_GB2312"/>
          <w:color w:val="000000"/>
          <w:kern w:val="0"/>
          <w:sz w:val="32"/>
          <w:szCs w:val="32"/>
          <w:shd w:val="clear" w:color="auto" w:fill="FFFFFF"/>
        </w:rPr>
        <w:t>.加大监督执法力度。健全分类分级差异化执法机制，突出重点行业领域和重点地区，开展“双随机、一公开”监督检查，从严从重查处违法违规行为，倒逼企业主体责任落实</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强化事故责任企业和人员处罚，形成对事故责任企业和人员严惩严治的高压态势。</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sz w:val="32"/>
          <w:szCs w:val="32"/>
        </w:rPr>
      </w:pPr>
    </w:p>
    <w:sectPr>
      <w:pgSz w:w="11906" w:h="16838"/>
      <w:pgMar w:top="2098" w:right="1474" w:bottom="1984" w:left="1587" w:header="0" w:footer="992" w:gutter="0"/>
      <w:cols w:space="0" w:num="1"/>
      <w:rtlGutter w:val="0"/>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42E39624-2ADB-4E7D-8631-E9537A2D92B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EFF206F-B8E9-4C60-ADAD-03C933C50658}"/>
  </w:font>
  <w:font w:name="仿宋_GB2312">
    <w:panose1 w:val="02010609030101010101"/>
    <w:charset w:val="86"/>
    <w:family w:val="auto"/>
    <w:pitch w:val="default"/>
    <w:sig w:usb0="00000001" w:usb1="080E0000" w:usb2="00000000" w:usb3="00000000" w:csb0="00040000" w:csb1="00000000"/>
    <w:embedRegular r:id="rId3" w:fontKey="{95FDF520-F6D3-4FF6-A9EE-A669C1BF874F}"/>
  </w:font>
  <w:font w:name="仿宋">
    <w:panose1 w:val="02010609060101010101"/>
    <w:charset w:val="86"/>
    <w:family w:val="auto"/>
    <w:pitch w:val="default"/>
    <w:sig w:usb0="800002BF" w:usb1="38CF7CFA" w:usb2="00000016" w:usb3="00000000" w:csb0="00040001" w:csb1="00000000"/>
    <w:embedRegular r:id="rId4" w:fontKey="{AD73669A-E1D4-46D7-8D41-13668DDF7E1E}"/>
  </w:font>
  <w:font w:name="方正小标宋简体">
    <w:panose1 w:val="03000509000000000000"/>
    <w:charset w:val="86"/>
    <w:family w:val="script"/>
    <w:pitch w:val="default"/>
    <w:sig w:usb0="00000001" w:usb1="080E0000" w:usb2="00000000" w:usb3="00000000" w:csb0="00040000" w:csb1="00000000"/>
    <w:embedRegular r:id="rId5" w:fontKey="{7EC9967A-1059-4D5B-BEF7-BAFD21DBBA7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Y2NkYTA3MzkxMzYwZGRmMTY1NGI2YTlmZmMxNjMifQ=="/>
  </w:docVars>
  <w:rsids>
    <w:rsidRoot w:val="0E016B03"/>
    <w:rsid w:val="05A34C8E"/>
    <w:rsid w:val="0C7A549F"/>
    <w:rsid w:val="0E016B03"/>
    <w:rsid w:val="13D761CF"/>
    <w:rsid w:val="1CCB1E4B"/>
    <w:rsid w:val="1CDF6673"/>
    <w:rsid w:val="30E03EB9"/>
    <w:rsid w:val="32AB6F18"/>
    <w:rsid w:val="35F603A0"/>
    <w:rsid w:val="39DB201E"/>
    <w:rsid w:val="3B052900"/>
    <w:rsid w:val="3ED47379"/>
    <w:rsid w:val="4E415C1C"/>
    <w:rsid w:val="6E7D27A1"/>
    <w:rsid w:val="709114D5"/>
    <w:rsid w:val="72723096"/>
    <w:rsid w:val="74991580"/>
    <w:rsid w:val="76AE23D7"/>
    <w:rsid w:val="76D809AC"/>
    <w:rsid w:val="7C0658B4"/>
    <w:rsid w:val="7EAC2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eastAsia="宋体"/>
      <w:b/>
      <w:kern w:val="0"/>
      <w:sz w:val="36"/>
      <w:szCs w:val="36"/>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next w:val="1"/>
    <w:qFormat/>
    <w:uiPriority w:val="0"/>
    <w:pPr>
      <w:widowControl/>
      <w:adjustRightInd w:val="0"/>
      <w:snapToGrid w:val="0"/>
      <w:spacing w:after="120" w:line="480" w:lineRule="auto"/>
      <w:ind w:left="420" w:leftChars="200" w:firstLine="883" w:firstLineChars="200"/>
      <w:textAlignment w:val="auto"/>
    </w:pPr>
    <w:rPr>
      <w:rFonts w:ascii="Times New Roman" w:hAnsi="Times New Roman" w:eastAsia="仿宋_GB2312" w:cs="Times New Roman"/>
      <w:color w:val="auto"/>
      <w:kern w:val="0"/>
      <w:sz w:val="32"/>
      <w:szCs w:val="24"/>
      <w:u w:val="none" w:color="auto"/>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3961</Words>
  <Characters>4025</Characters>
  <Lines>0</Lines>
  <Paragraphs>0</Paragraphs>
  <TotalTime>6</TotalTime>
  <ScaleCrop>false</ScaleCrop>
  <LinksUpToDate>false</LinksUpToDate>
  <CharactersWithSpaces>4056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2023-03-22T00:33:00Z</dcterms:created>
  <dc:creator>一个人看小丸子 ε</dc:creator>
  <cp:lastModifiedBy>荼蘼</cp:lastModifiedBy>
  <cp:lastPrinted>2023-03-30T02:35:59Z</cp:lastPrinted>
  <dcterms:modified xsi:type="dcterms:W3CDTF">2023-03-30T02:38:02Z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DDB384FC609D4622943E3BFF43875AAB</vt:lpwstr>
  </property>
</Properties>
</file>