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62A" w:rsidRPr="0053262A" w:rsidRDefault="0053262A" w:rsidP="0053262A">
      <w:pPr>
        <w:widowControl/>
        <w:shd w:val="clear" w:color="auto" w:fill="FFFFFF"/>
        <w:spacing w:line="960" w:lineRule="atLeast"/>
        <w:jc w:val="center"/>
        <w:outlineLvl w:val="0"/>
        <w:rPr>
          <w:rFonts w:asciiTheme="majorEastAsia" w:eastAsiaTheme="majorEastAsia" w:hAnsiTheme="majorEastAsia" w:cs="宋体"/>
          <w:color w:val="333333"/>
          <w:kern w:val="36"/>
          <w:sz w:val="44"/>
          <w:szCs w:val="44"/>
        </w:rPr>
      </w:pPr>
      <w:r w:rsidRPr="0053262A">
        <w:rPr>
          <w:rFonts w:asciiTheme="majorEastAsia" w:eastAsiaTheme="majorEastAsia" w:hAnsiTheme="majorEastAsia" w:cs="宋体" w:hint="eastAsia"/>
          <w:color w:val="333333"/>
          <w:kern w:val="36"/>
          <w:sz w:val="44"/>
          <w:szCs w:val="44"/>
        </w:rPr>
        <w:t>《关于加强新时代水土保持工作的意见》</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p>
    <w:p w:rsidR="0053262A" w:rsidRPr="0053262A" w:rsidRDefault="0053262A" w:rsidP="0053262A">
      <w:pPr>
        <w:pStyle w:val="a3"/>
        <w:shd w:val="clear" w:color="auto" w:fill="FFFFFF"/>
        <w:spacing w:before="257" w:beforeAutospacing="0" w:after="0" w:afterAutospacing="0"/>
        <w:ind w:firstLine="480"/>
        <w:rPr>
          <w:color w:val="333333"/>
          <w:sz w:val="32"/>
          <w:szCs w:val="32"/>
        </w:rPr>
      </w:pPr>
      <w:r w:rsidRPr="0053262A">
        <w:rPr>
          <w:rFonts w:hint="eastAsia"/>
          <w:color w:val="333333"/>
          <w:sz w:val="32"/>
          <w:szCs w:val="32"/>
        </w:rPr>
        <w:t>新华社北京1月3日电 近日，中共中央办公厅、国务院办公厅印发了《关于加强新时代水土保持工作的意见》，并发出通知，要求各地区各部门结合实际认真贯彻落实。</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《关于加强新时代水土保持工作的意见》全文如下。</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水土保持是江河保护治理的根本措施，是生态文明建设的必然要求。党的十八大以来，我国水土保持工作取得显著成效，水土流失面积和强度持续呈现“双下降”态势，但我国水土流失防治成效还不稳固，防治任务仍然繁重。党的二十大强调，推动绿色发展，促进人与自然和谐共生，这对水土保持工作提出了新的更高要求。为加强新时代水土保持工作，现提出如下意见。</w:t>
      </w:r>
    </w:p>
    <w:p w:rsidR="0053262A" w:rsidRPr="0053262A" w:rsidRDefault="0053262A" w:rsidP="0053262A">
      <w:pPr>
        <w:pStyle w:val="a3"/>
        <w:shd w:val="clear" w:color="auto" w:fill="FFFFFF"/>
        <w:spacing w:before="0" w:beforeAutospacing="0" w:after="0" w:afterAutospacing="0"/>
        <w:ind w:firstLine="480"/>
        <w:rPr>
          <w:rFonts w:hint="eastAsia"/>
          <w:color w:val="333333"/>
          <w:sz w:val="32"/>
          <w:szCs w:val="32"/>
        </w:rPr>
      </w:pPr>
      <w:r w:rsidRPr="0053262A">
        <w:rPr>
          <w:rFonts w:hint="eastAsia"/>
          <w:b/>
          <w:bCs/>
          <w:color w:val="333333"/>
          <w:sz w:val="32"/>
          <w:szCs w:val="32"/>
        </w:rPr>
        <w:t>一、总体要求</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一）指导思想。以习近平新时代中国特色社会主义思想为指导，深入贯彻党的二十大精神，全面贯彻习近平生态文明思想，完整、准确、全面贯彻新发展理念，加快构建新发展格局，认真落实节水优先、空间均衡、系统治理、两手发力的治水思路，牢固树立和践行绿水青山就是金山银山的</w:t>
      </w:r>
      <w:r w:rsidRPr="0053262A">
        <w:rPr>
          <w:rFonts w:hint="eastAsia"/>
          <w:color w:val="333333"/>
          <w:sz w:val="32"/>
          <w:szCs w:val="32"/>
        </w:rPr>
        <w:lastRenderedPageBreak/>
        <w:t>理念，以推动高质量发展为主题，以体制机制改革创新为抓手，加快构建党委领导、政府负责、部门协同、全社会共同参与的水土保持工作格局，全面提升水土保持功能和生态产品供给能力，为促进人与自然和谐共生提供有力支撑。</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（二）工作要求</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坚持生态优先、保护为要。尊重自然、顺应自然、保护自然，从过度干预、过度利用向自然修复、休养生息转变，建立严格的水土流失预防保护和监管制度，守住自然生态安全边界，提升生态系统质量和稳定性。</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坚持问题导向、保障民生。坚持以人民为中心的发展思想，着力解决水土保持领域人民最关心最直接最现实的利益问题，充分发挥水土保持的生态效益、经济效益、社会效益，不断增强人民群众的获得感、幸福感、安全感。</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——坚持系统治理、综合施策。从生态系统整体性和流域系统性出发，遵循自然规律和客观规律，统筹推进山水林田湖草沙综合治理、系统治理、源头治理，因地制宜、科学施策，坚持不懈、久久为功。</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——坚持改革创新、激发活力。坚持政府和市场两手发力，充分发挥市场在资源配置中的决定性作用，更好发挥政</w:t>
      </w:r>
      <w:r w:rsidRPr="0053262A">
        <w:rPr>
          <w:rFonts w:hint="eastAsia"/>
          <w:color w:val="333333"/>
          <w:sz w:val="32"/>
          <w:szCs w:val="32"/>
        </w:rPr>
        <w:lastRenderedPageBreak/>
        <w:t>府作用，深化水土保持体制机制创新，加强改革举措系统集成、精准施策，进一步增强发展动力和活力。</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三）主要目标。到2025年，水土保持体制机制和工作体系更加完善，管理效能进一步提升，人为水土流失得到有效管控，重点地区水土流失得到有效治理，水土流失状况持续改善，全国水土保持率达到73%。到2035年，系统完备、协同高效的水土保持体制机制全面形成，人为水土流失得到全面控制，重点地区水土流失得到全面治理，全国水土保持率达到75%，生态系统水土保持功能显著增强。</w:t>
      </w:r>
    </w:p>
    <w:p w:rsidR="0053262A" w:rsidRPr="0053262A" w:rsidRDefault="0053262A" w:rsidP="0053262A">
      <w:pPr>
        <w:pStyle w:val="a3"/>
        <w:shd w:val="clear" w:color="auto" w:fill="FFFFFF"/>
        <w:spacing w:before="0" w:beforeAutospacing="0" w:after="0" w:afterAutospacing="0"/>
        <w:ind w:firstLine="480"/>
        <w:rPr>
          <w:rFonts w:hint="eastAsia"/>
          <w:color w:val="333333"/>
          <w:sz w:val="32"/>
          <w:szCs w:val="32"/>
        </w:rPr>
      </w:pPr>
      <w:r w:rsidRPr="0053262A">
        <w:rPr>
          <w:rFonts w:hint="eastAsia"/>
          <w:b/>
          <w:bCs/>
          <w:color w:val="333333"/>
          <w:sz w:val="32"/>
          <w:szCs w:val="32"/>
        </w:rPr>
        <w:t>二、全面加强水土流失预防保护</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四）突出抓好水土流失源头防控。按照国土空间规划和用途管控要求，建立水土保持空间管控制度，落实差别化保护治理措施。将水土保持生态功能重要区域和水土流失敏感脆弱区域纳入生态保护红线，实行严格管控，减少人类活动对自然生态空间的占用。有关规划涉及基础设施建设、矿产资源开发、城镇建设、公共服务设施建设等内容，在实施过程中可能造成水土流失的，应提出水土流失预防和治理的对策和措施，并征求同级水行政主管部门意见。</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（五）加大重点区域预防保护力度。统筹布局和加快实施重要生态系统保护和修复重大工程，推进国家重点生态功能区、生态保护红线、自然保护地等区域一体化生态保护和</w:t>
      </w:r>
      <w:r w:rsidRPr="0053262A">
        <w:rPr>
          <w:rFonts w:hint="eastAsia"/>
          <w:color w:val="333333"/>
          <w:sz w:val="32"/>
          <w:szCs w:val="32"/>
        </w:rPr>
        <w:lastRenderedPageBreak/>
        <w:t>修复。以江河源头区、重要水源地、水蚀风蚀交错区等区域为重点，全面实施水土流失预防保护。对暂不具备水土流失治理条件和因保护生态不宜开发利用的高寒高海拔冻融侵蚀、集中连片沙化土地风力侵蚀等区域，加强封育保护。</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六）提升生态系统水土保持功能。把巩固提升森林、草原生态系统质量和稳定性作为水土流失预防保护的重点，严禁违法违规开垦，加强天然林和草原保护修复，落实草原禁牧休牧和草畜平衡制度，充分发挥林草水土保持功能。以保护农田生态系统为重点，健全耕地休耕轮作制度，强化耕地质量保护与提升，推进高标准农田建设，完善农田灌溉排水体系，因地制宜建设农田防护林，提升土壤保持能力。实施城市更新行动，推进城市水土保持和生态修复，强化山体、山林、水体、湿地保护，保持山水生态的原真性和完整性，推动绿色城市建设。</w:t>
      </w:r>
    </w:p>
    <w:p w:rsidR="0053262A" w:rsidRPr="0053262A" w:rsidRDefault="0053262A" w:rsidP="0053262A">
      <w:pPr>
        <w:pStyle w:val="a3"/>
        <w:shd w:val="clear" w:color="auto" w:fill="FFFFFF"/>
        <w:spacing w:before="0" w:beforeAutospacing="0" w:after="0" w:afterAutospacing="0"/>
        <w:ind w:firstLine="480"/>
        <w:rPr>
          <w:rFonts w:hint="eastAsia"/>
          <w:color w:val="333333"/>
          <w:sz w:val="32"/>
          <w:szCs w:val="32"/>
        </w:rPr>
      </w:pPr>
      <w:r w:rsidRPr="0053262A">
        <w:rPr>
          <w:rFonts w:hint="eastAsia"/>
          <w:b/>
          <w:bCs/>
          <w:color w:val="333333"/>
          <w:sz w:val="32"/>
          <w:szCs w:val="32"/>
        </w:rPr>
        <w:t>三、依法严格人为水土流失监管</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七）健全监管制度和标准。依法落实生产建设项目水土保持方案制度，加强全链条全过程监管。针对不同区域、不同行业特点，明确差异化针对性要求，分类精准监管。完善农林开发等生产建设活动水土流失防治标准，严格依照标准实行监管。深化“放管服”改革，持续推进水土保持审批</w:t>
      </w:r>
      <w:r w:rsidRPr="0053262A">
        <w:rPr>
          <w:rFonts w:hint="eastAsia"/>
          <w:color w:val="333333"/>
          <w:sz w:val="32"/>
          <w:szCs w:val="32"/>
        </w:rPr>
        <w:lastRenderedPageBreak/>
        <w:t>服务标准化、规范化、便利化，进一步优化营商环境，培育和激发市场主体活力。</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八）创新和完善监管方式。建立以遥感监管为基本手段、重点监管为补充、信用监管为基础的新型监管机制。全覆盖、常态化开展水土保持遥感监管，全面监控、及时发现、精准判别人为水土流失情况，依法依规严格查处有关违法违规行为。加大对造成水土流失的生态破坏行为的惩治力度，对造成生态环境损害的，依法依规严格追究生态环境损害赔偿责任。全面实施水土保持信用评价。深入推进“互联网+监管”，积极推行基于企业自主监控的远程视频监管等方式。加强对人为水土流失风险的跟踪预警，提高监管精准化、智能化水平，推动实现无风险不打扰、低风险预提醒、中高风险严监控。</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九）加强协同监管。强化部门间协同监管和联动执法，建立完善监管信息共享、违法线索互联、案件通报移送等制度。加强水土保持行政执法与刑事司法衔接、与检察公益诉讼协作，充分发挥司法保障监督作用。健全与纪检监察机关沟通机制，及时将发现的党员干部和公职人员涉嫌违纪违法问题线索移送纪检监察机关处理。畅通公众监督和举报渠道，发挥社会监督作用。加强水土保持监管能力建设，提高专业</w:t>
      </w:r>
      <w:r w:rsidRPr="0053262A">
        <w:rPr>
          <w:rFonts w:hint="eastAsia"/>
          <w:color w:val="333333"/>
          <w:sz w:val="32"/>
          <w:szCs w:val="32"/>
        </w:rPr>
        <w:lastRenderedPageBreak/>
        <w:t>化水平和现代科技手段应用能力，保障必要的经费和装备投入。</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十）强化企业责任落实。生产建设单位应依法履行水土流失防治责任，严格落实水土保持“三同时”（水土保持设施应与主体工程同时设计、同时施工、同时投产使用）要求。大力推行绿色设计、绿色施工，严格控制耕地占用和地表扰动，严禁滥采乱挖、乱堆乱弃，全面落实表土资源保护、弃渣减量和综合利用要求，最大限度减少可能造成的水土流失。生产建设项目主管部门要有针对性加强行业指导。</w:t>
      </w:r>
    </w:p>
    <w:p w:rsidR="0053262A" w:rsidRPr="0053262A" w:rsidRDefault="0053262A" w:rsidP="0053262A">
      <w:pPr>
        <w:pStyle w:val="a3"/>
        <w:shd w:val="clear" w:color="auto" w:fill="FFFFFF"/>
        <w:spacing w:before="0" w:beforeAutospacing="0" w:after="0" w:afterAutospacing="0"/>
        <w:ind w:firstLine="480"/>
        <w:rPr>
          <w:rFonts w:hint="eastAsia"/>
          <w:color w:val="333333"/>
          <w:sz w:val="32"/>
          <w:szCs w:val="32"/>
        </w:rPr>
      </w:pPr>
      <w:r w:rsidRPr="0053262A">
        <w:rPr>
          <w:rFonts w:hint="eastAsia"/>
          <w:b/>
          <w:bCs/>
          <w:color w:val="333333"/>
          <w:sz w:val="32"/>
          <w:szCs w:val="32"/>
        </w:rPr>
        <w:t>四、加快推进水土流失重点治理</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十一）全面推动小流域综合治理提质增效。统筹生产生活生态，在大江大河上中游、东北黑土区、西南岩溶区、南水北调水源区、三峡库区等水土流失重点区域全面开展小流域综合治理。各地要将小流域综合治理纳入经济社会发展规划和乡村振兴规划，建立统筹协调机制，以流域水系为单元，整沟、整村、整乡、整县一体化推进。以山青、水净、村美、民富为目标，以水系、村庄和城镇周边为重点，大力推进生态清洁小流域建设，推动小流域综合治理与提高农业综合生产能力、发展特色产业、改善农村人居环境等有机结合，提供更多更优蕴含水土保持功能的生态产品。</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lastRenderedPageBreak/>
        <w:t>（十二）大力推进坡耕地水土流失治理。聚焦耕地保护、粮食安全、面源污染防治，以粮食生产功能区和重要农产品生产保护区为重点，大力实施坡耕地水土流失治理工程，提高建设标准和质量。加快推进长江上中游坡耕地水土流失治理，因地制宜完善田间道路、坡面水系等配套措施，提升耕地质量和效益。推进黄土高原旱作梯田建设，加强雨水集蓄利用，发展高效旱作农业。加大东北黑土区坡耕地和侵蚀沟水土流失治理力度，统筹推进保护性耕作和高标准农田建设，保护好黑土资源。有条件的地区要将缓坡耕地水土流失治理与高标准农田建设统筹规划、同步实施。</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十三）抓好泥沙集中来源区水土流失治理。以减少入河入库泥沙为重点，突出抓好黄河多沙粗沙区特别是粗泥沙集中来源区综合治理，大力开展黄土高原高标准淤地坝建设，加强病险淤地坝除险加固和老旧淤地坝提升改造，实施固沟保塬工程。积极推进南方丘陵山地带崩岗综合治理，保护和合理利用水土资源。</w:t>
      </w:r>
    </w:p>
    <w:p w:rsidR="0053262A" w:rsidRPr="0053262A" w:rsidRDefault="0053262A" w:rsidP="0053262A">
      <w:pPr>
        <w:pStyle w:val="a3"/>
        <w:shd w:val="clear" w:color="auto" w:fill="FFFFFF"/>
        <w:spacing w:before="0" w:beforeAutospacing="0" w:after="0" w:afterAutospacing="0"/>
        <w:ind w:firstLine="480"/>
        <w:rPr>
          <w:rFonts w:hint="eastAsia"/>
          <w:color w:val="333333"/>
          <w:sz w:val="32"/>
          <w:szCs w:val="32"/>
        </w:rPr>
      </w:pPr>
      <w:r w:rsidRPr="0053262A">
        <w:rPr>
          <w:rFonts w:hint="eastAsia"/>
          <w:b/>
          <w:bCs/>
          <w:color w:val="333333"/>
          <w:sz w:val="32"/>
          <w:szCs w:val="32"/>
        </w:rPr>
        <w:t>五、提升水土保持管理能力和水平</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十四）健全水土保持规划体系。落实全国水土保持规划，制定全国重要江河流域水土保持规划，推进上中下游、左右岸、干支流协同治理。地方各级政府要依据全国及流域水土保持规划，及时制定或修订本行政区水土保持规划，合</w:t>
      </w:r>
      <w:r w:rsidRPr="0053262A">
        <w:rPr>
          <w:rFonts w:hint="eastAsia"/>
          <w:color w:val="333333"/>
          <w:sz w:val="32"/>
          <w:szCs w:val="32"/>
        </w:rPr>
        <w:lastRenderedPageBreak/>
        <w:t>理确定水土保持目标，明确水土流失防治布局和任务。强化规划实施跟踪监测评估。</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十五）完善水土保持工程建管机制。创新水土流失重点治理工程组织实施方式，优化项目审批程序。积极推行以奖代补、以工代赈等建设模式，发挥好村级组织、土地使用者、承包经营者作用，支持和引导社会资本和治理区群众参与工程建设。完善治理成果管护制度，按照“谁使用、谁管护”和“谁受益、谁负责”的原则，明确管护主体，落实管护责任。建立工程运行维护费用政府和受益主体分摊机制。</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十六）加强水土保持考核。实行地方政府水土保持目标责任制和考核奖惩制度，将考核结果作为领导班子和领导干部综合考核评价及责任追究、自然资源资产离任审计的重要参考。对水土保持工作中成绩显著的单位和个人，按照国家有关规定予以表彰和奖励。</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十七）强化水土保持监测评价。构建以监测站点监测为基础、常态化动态监测为主、定期调查为补充的水土保持监测体系，完善全国和重点区域土壤侵蚀模型，深化监测评价和预报预警，充分发挥水土保持监测在生态系统保护成效监测评估中的重要作用。优化水土保持监测站网布局，按照事权划分，明确中央与地方支出责任，健全运行机制。按年度开展全国水土流失动态监测，及时定量掌握全国各级行政</w:t>
      </w:r>
      <w:r w:rsidRPr="0053262A">
        <w:rPr>
          <w:rFonts w:hint="eastAsia"/>
          <w:color w:val="333333"/>
          <w:sz w:val="32"/>
          <w:szCs w:val="32"/>
        </w:rPr>
        <w:lastRenderedPageBreak/>
        <w:t>区及重点流域、区域水土流失状况和防治成效。建立水土保持监测设备计量制度，保证监测数据质量。</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十八）加强水土保持科技创新。推进遥感、大数据、云计算等现代信息技术与水土保持深度融合，强化水土保持监管、监测等信息共享和部门间互联互通，提高管理数字化、网络化、智能化水平。围绕水土流失规律与机理、水土保持与水沙关系、水土保持碳汇能力等，加强基础研究和关键技术攻关。支持水土保持领域重点实验室、野外科学观测研究站等科技创新平台建设，促进科技成果转化和技术推广。</w:t>
      </w:r>
    </w:p>
    <w:p w:rsidR="0053262A" w:rsidRPr="0053262A" w:rsidRDefault="0053262A" w:rsidP="0053262A">
      <w:pPr>
        <w:pStyle w:val="a3"/>
        <w:shd w:val="clear" w:color="auto" w:fill="FFFFFF"/>
        <w:spacing w:before="0" w:beforeAutospacing="0" w:after="0" w:afterAutospacing="0"/>
        <w:ind w:firstLine="480"/>
        <w:rPr>
          <w:rFonts w:hint="eastAsia"/>
          <w:color w:val="333333"/>
          <w:sz w:val="32"/>
          <w:szCs w:val="32"/>
        </w:rPr>
      </w:pPr>
      <w:r w:rsidRPr="0053262A">
        <w:rPr>
          <w:rFonts w:hint="eastAsia"/>
          <w:b/>
          <w:bCs/>
          <w:color w:val="333333"/>
          <w:sz w:val="32"/>
          <w:szCs w:val="32"/>
        </w:rPr>
        <w:t>六、保障措施</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十九）加强组织领导。坚持和加强党对水土保持工作的全面领导，实行中央统筹、省负总责、市县乡抓落实的工作机制。地方各级党委和政府要切实担负起水土保持责任，进一步加强组织建设、队伍建设、制度建设，明确目标任务和具体举措，推进解决重点难点问题，确保党中央、国务院决策部署落到实处。</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二十）强化统筹协调。建立水土保持部际协调机制，强化协调配合，形成工作合力。水利部要切实履行主管部门职责，发挥好牵头组织和统筹协调作用，强化流域管理机构统一规划、统一治理、统一管理，加强跨区域水土流失联防联控联治。发展改革、财政、自然资源、生态环境、农业农</w:t>
      </w:r>
      <w:r w:rsidRPr="0053262A">
        <w:rPr>
          <w:rFonts w:hint="eastAsia"/>
          <w:color w:val="333333"/>
          <w:sz w:val="32"/>
          <w:szCs w:val="32"/>
        </w:rPr>
        <w:lastRenderedPageBreak/>
        <w:t>村、林业草原等部门要按照职责分工做好相关工作，加强政策支持协同，推动重点任务落实。地方各级政府要建立健全协调机制，研究解决重要问题，抓好督促落实。</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二十一）加强投入保障。中央财政继续支持水土保持工作。地方各级政府要多渠道筹措资金，保障水土保持投入。综合运用产权激励、金融扶持等政策，支持引导社会资本和符合条件的农民合作社、家庭农场等新型农业经营主体开展水土流失治理。对集中连片开展水土流失治理达到一定规模和生态修复预期目标的相关实施主体，允许依法依规取得一定份额自然资源资产使用权，从事相关产业开发。对淤地坝淤积和侵蚀沟、崩岗、石漠化治理等形成的可以长期稳定利用的耕地，按程序用于耕地占补平衡。建立水土保持生态产品价值实现机制，研究将水土保持碳汇纳入温室气体自愿减排交易机制。制定完善水土保持碳汇能力评价指标和核算方法，健全水土保持标准体系。鼓励和引导公民、法人和其他组织以捐赠、资助等形式参与水土保持工作。</w:t>
      </w:r>
    </w:p>
    <w:p w:rsidR="0053262A" w:rsidRPr="0053262A" w:rsidRDefault="0053262A" w:rsidP="0053262A">
      <w:pPr>
        <w:pStyle w:val="a3"/>
        <w:shd w:val="clear" w:color="auto" w:fill="FFFFFF"/>
        <w:spacing w:before="257" w:beforeAutospacing="0" w:after="0" w:afterAutospacing="0"/>
        <w:ind w:firstLine="480"/>
        <w:rPr>
          <w:rFonts w:hint="eastAsia"/>
          <w:color w:val="333333"/>
          <w:sz w:val="32"/>
          <w:szCs w:val="32"/>
        </w:rPr>
      </w:pPr>
      <w:r w:rsidRPr="0053262A">
        <w:rPr>
          <w:rFonts w:hint="eastAsia"/>
          <w:color w:val="333333"/>
          <w:sz w:val="32"/>
          <w:szCs w:val="32"/>
        </w:rPr>
        <w:t>（二十二）强化宣传教育。采取多种形式广泛开展水土保持宣传教育，普及水土保持法律法规和相关制度。加强水土保持学科建设。将水土保持纳入国民教育体系和党政领导干部培训体系，强化以案释法、以案示警，引导全社会强化水土保持意识。开展国家水土保持示范创建，加强水土保持</w:t>
      </w:r>
      <w:r w:rsidRPr="0053262A">
        <w:rPr>
          <w:rFonts w:hint="eastAsia"/>
          <w:color w:val="333333"/>
          <w:sz w:val="32"/>
          <w:szCs w:val="32"/>
        </w:rPr>
        <w:lastRenderedPageBreak/>
        <w:t>科普宣传和文化建设。加强国际交流合作，讲好水土保持“中国故事”。</w:t>
      </w:r>
    </w:p>
    <w:p w:rsidR="001A1ACC" w:rsidRPr="0053262A" w:rsidRDefault="001A1ACC">
      <w:pPr>
        <w:rPr>
          <w:sz w:val="32"/>
          <w:szCs w:val="32"/>
        </w:rPr>
      </w:pPr>
    </w:p>
    <w:sectPr w:rsidR="001A1ACC" w:rsidRPr="0053262A" w:rsidSect="001A1A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262A"/>
    <w:rsid w:val="000112DE"/>
    <w:rsid w:val="00011926"/>
    <w:rsid w:val="00020A6A"/>
    <w:rsid w:val="00024B5E"/>
    <w:rsid w:val="00031A0D"/>
    <w:rsid w:val="00035D0E"/>
    <w:rsid w:val="0004594D"/>
    <w:rsid w:val="00055DD4"/>
    <w:rsid w:val="00066296"/>
    <w:rsid w:val="000709D9"/>
    <w:rsid w:val="00095CF3"/>
    <w:rsid w:val="000A577D"/>
    <w:rsid w:val="000B7DAB"/>
    <w:rsid w:val="000D6693"/>
    <w:rsid w:val="000E2DFC"/>
    <w:rsid w:val="000F3C2D"/>
    <w:rsid w:val="00105DF5"/>
    <w:rsid w:val="001067C6"/>
    <w:rsid w:val="00111E39"/>
    <w:rsid w:val="00112610"/>
    <w:rsid w:val="00112A8D"/>
    <w:rsid w:val="0013164D"/>
    <w:rsid w:val="00132820"/>
    <w:rsid w:val="00136163"/>
    <w:rsid w:val="0014784D"/>
    <w:rsid w:val="00152BD1"/>
    <w:rsid w:val="00157117"/>
    <w:rsid w:val="00161637"/>
    <w:rsid w:val="00184C59"/>
    <w:rsid w:val="00192D1E"/>
    <w:rsid w:val="001A1ACC"/>
    <w:rsid w:val="001A55AD"/>
    <w:rsid w:val="001A5CA9"/>
    <w:rsid w:val="001A6864"/>
    <w:rsid w:val="001A7D44"/>
    <w:rsid w:val="001B4648"/>
    <w:rsid w:val="001B5B94"/>
    <w:rsid w:val="001B7CCE"/>
    <w:rsid w:val="001C6C01"/>
    <w:rsid w:val="001D2C4B"/>
    <w:rsid w:val="001E700A"/>
    <w:rsid w:val="002026C5"/>
    <w:rsid w:val="0020430D"/>
    <w:rsid w:val="00205FEA"/>
    <w:rsid w:val="0021508B"/>
    <w:rsid w:val="002871BC"/>
    <w:rsid w:val="0029318B"/>
    <w:rsid w:val="002934E4"/>
    <w:rsid w:val="002B224D"/>
    <w:rsid w:val="002B32D3"/>
    <w:rsid w:val="002C3057"/>
    <w:rsid w:val="002C49A4"/>
    <w:rsid w:val="002C634F"/>
    <w:rsid w:val="002F1F6F"/>
    <w:rsid w:val="00303C02"/>
    <w:rsid w:val="00304645"/>
    <w:rsid w:val="003139B9"/>
    <w:rsid w:val="00323957"/>
    <w:rsid w:val="0033083E"/>
    <w:rsid w:val="00333A57"/>
    <w:rsid w:val="00353599"/>
    <w:rsid w:val="003628F6"/>
    <w:rsid w:val="003632CA"/>
    <w:rsid w:val="003675F0"/>
    <w:rsid w:val="00374916"/>
    <w:rsid w:val="003809AA"/>
    <w:rsid w:val="003849CB"/>
    <w:rsid w:val="003912BE"/>
    <w:rsid w:val="00397FDB"/>
    <w:rsid w:val="003A02B7"/>
    <w:rsid w:val="003A33C0"/>
    <w:rsid w:val="003A608A"/>
    <w:rsid w:val="003C7767"/>
    <w:rsid w:val="003E0643"/>
    <w:rsid w:val="003E587A"/>
    <w:rsid w:val="003F0059"/>
    <w:rsid w:val="00411FE4"/>
    <w:rsid w:val="00424026"/>
    <w:rsid w:val="00442793"/>
    <w:rsid w:val="00446309"/>
    <w:rsid w:val="00473AEC"/>
    <w:rsid w:val="0049232B"/>
    <w:rsid w:val="004949A1"/>
    <w:rsid w:val="004A60F4"/>
    <w:rsid w:val="004A6591"/>
    <w:rsid w:val="004C164A"/>
    <w:rsid w:val="004C500C"/>
    <w:rsid w:val="004E1D62"/>
    <w:rsid w:val="004E4301"/>
    <w:rsid w:val="00500C0D"/>
    <w:rsid w:val="00503BCE"/>
    <w:rsid w:val="00506B3F"/>
    <w:rsid w:val="0051618D"/>
    <w:rsid w:val="00523537"/>
    <w:rsid w:val="0053262A"/>
    <w:rsid w:val="0054121F"/>
    <w:rsid w:val="00564DE5"/>
    <w:rsid w:val="00586C68"/>
    <w:rsid w:val="005A0DB7"/>
    <w:rsid w:val="005B67A2"/>
    <w:rsid w:val="005B712F"/>
    <w:rsid w:val="005C7BDA"/>
    <w:rsid w:val="005D30F3"/>
    <w:rsid w:val="005D3EC7"/>
    <w:rsid w:val="005D70CC"/>
    <w:rsid w:val="005D7F62"/>
    <w:rsid w:val="005E03A7"/>
    <w:rsid w:val="005E325D"/>
    <w:rsid w:val="005E7A88"/>
    <w:rsid w:val="005F3D95"/>
    <w:rsid w:val="005F3F3A"/>
    <w:rsid w:val="00620D22"/>
    <w:rsid w:val="00626DBB"/>
    <w:rsid w:val="00647211"/>
    <w:rsid w:val="00650F9C"/>
    <w:rsid w:val="00661F6B"/>
    <w:rsid w:val="006637D8"/>
    <w:rsid w:val="00676DC1"/>
    <w:rsid w:val="006906E2"/>
    <w:rsid w:val="0069171C"/>
    <w:rsid w:val="00696193"/>
    <w:rsid w:val="006B76D2"/>
    <w:rsid w:val="006C335E"/>
    <w:rsid w:val="006E0B0E"/>
    <w:rsid w:val="006F467C"/>
    <w:rsid w:val="00715DE5"/>
    <w:rsid w:val="00717DAD"/>
    <w:rsid w:val="00726163"/>
    <w:rsid w:val="00742948"/>
    <w:rsid w:val="007538E7"/>
    <w:rsid w:val="00757627"/>
    <w:rsid w:val="0076232E"/>
    <w:rsid w:val="00765CA3"/>
    <w:rsid w:val="00783730"/>
    <w:rsid w:val="00786CFC"/>
    <w:rsid w:val="00793755"/>
    <w:rsid w:val="007A0637"/>
    <w:rsid w:val="007D2A82"/>
    <w:rsid w:val="007E5F8E"/>
    <w:rsid w:val="008123A0"/>
    <w:rsid w:val="008248CD"/>
    <w:rsid w:val="0083633F"/>
    <w:rsid w:val="0084021F"/>
    <w:rsid w:val="00855279"/>
    <w:rsid w:val="0086024B"/>
    <w:rsid w:val="008750E6"/>
    <w:rsid w:val="008773EA"/>
    <w:rsid w:val="0088076F"/>
    <w:rsid w:val="00893BAB"/>
    <w:rsid w:val="008B2263"/>
    <w:rsid w:val="008C4C71"/>
    <w:rsid w:val="008D51D4"/>
    <w:rsid w:val="008E1050"/>
    <w:rsid w:val="008E3777"/>
    <w:rsid w:val="008E6DF9"/>
    <w:rsid w:val="009251F3"/>
    <w:rsid w:val="00926C8C"/>
    <w:rsid w:val="00936545"/>
    <w:rsid w:val="0093726A"/>
    <w:rsid w:val="0094138D"/>
    <w:rsid w:val="009432E2"/>
    <w:rsid w:val="00943A72"/>
    <w:rsid w:val="00966FDC"/>
    <w:rsid w:val="0098085F"/>
    <w:rsid w:val="00983517"/>
    <w:rsid w:val="00983926"/>
    <w:rsid w:val="009841D0"/>
    <w:rsid w:val="009877D2"/>
    <w:rsid w:val="009A6778"/>
    <w:rsid w:val="009B42D2"/>
    <w:rsid w:val="009B4F47"/>
    <w:rsid w:val="009B5C59"/>
    <w:rsid w:val="009B6BC1"/>
    <w:rsid w:val="009B794A"/>
    <w:rsid w:val="009C281B"/>
    <w:rsid w:val="009C32AF"/>
    <w:rsid w:val="009C4EF3"/>
    <w:rsid w:val="009D5365"/>
    <w:rsid w:val="009E5A33"/>
    <w:rsid w:val="009E7FDC"/>
    <w:rsid w:val="00A00045"/>
    <w:rsid w:val="00A06CAD"/>
    <w:rsid w:val="00A15808"/>
    <w:rsid w:val="00A21028"/>
    <w:rsid w:val="00A332A7"/>
    <w:rsid w:val="00A56611"/>
    <w:rsid w:val="00A572D0"/>
    <w:rsid w:val="00A6072E"/>
    <w:rsid w:val="00A60D8D"/>
    <w:rsid w:val="00A610A1"/>
    <w:rsid w:val="00A67359"/>
    <w:rsid w:val="00A74BF3"/>
    <w:rsid w:val="00A76C42"/>
    <w:rsid w:val="00AA3FE4"/>
    <w:rsid w:val="00AA5E75"/>
    <w:rsid w:val="00AB0D99"/>
    <w:rsid w:val="00AB198D"/>
    <w:rsid w:val="00AB19E8"/>
    <w:rsid w:val="00AD3067"/>
    <w:rsid w:val="00AD49E8"/>
    <w:rsid w:val="00AF2A2A"/>
    <w:rsid w:val="00AF5938"/>
    <w:rsid w:val="00AF7066"/>
    <w:rsid w:val="00B02088"/>
    <w:rsid w:val="00B040E4"/>
    <w:rsid w:val="00B15336"/>
    <w:rsid w:val="00B17813"/>
    <w:rsid w:val="00B223EB"/>
    <w:rsid w:val="00B279A4"/>
    <w:rsid w:val="00B35403"/>
    <w:rsid w:val="00B52D23"/>
    <w:rsid w:val="00B52D35"/>
    <w:rsid w:val="00B60FEA"/>
    <w:rsid w:val="00B67425"/>
    <w:rsid w:val="00B75DC7"/>
    <w:rsid w:val="00B83780"/>
    <w:rsid w:val="00B853A2"/>
    <w:rsid w:val="00B92C98"/>
    <w:rsid w:val="00BB1D87"/>
    <w:rsid w:val="00BC1F4B"/>
    <w:rsid w:val="00BC24E0"/>
    <w:rsid w:val="00BD6078"/>
    <w:rsid w:val="00BE4554"/>
    <w:rsid w:val="00BE6A1C"/>
    <w:rsid w:val="00BF07AA"/>
    <w:rsid w:val="00BF4D2E"/>
    <w:rsid w:val="00BF5667"/>
    <w:rsid w:val="00BF7C29"/>
    <w:rsid w:val="00C01B78"/>
    <w:rsid w:val="00C14BE9"/>
    <w:rsid w:val="00C156BC"/>
    <w:rsid w:val="00C15A9D"/>
    <w:rsid w:val="00C2000C"/>
    <w:rsid w:val="00C268FD"/>
    <w:rsid w:val="00C359A0"/>
    <w:rsid w:val="00C46299"/>
    <w:rsid w:val="00C52E9F"/>
    <w:rsid w:val="00C56C90"/>
    <w:rsid w:val="00C7679A"/>
    <w:rsid w:val="00C86ACF"/>
    <w:rsid w:val="00C87A03"/>
    <w:rsid w:val="00C93185"/>
    <w:rsid w:val="00C93A6B"/>
    <w:rsid w:val="00C95794"/>
    <w:rsid w:val="00C96D23"/>
    <w:rsid w:val="00CA028C"/>
    <w:rsid w:val="00CA200F"/>
    <w:rsid w:val="00CA4E4A"/>
    <w:rsid w:val="00CA6BED"/>
    <w:rsid w:val="00CB0346"/>
    <w:rsid w:val="00CB03B4"/>
    <w:rsid w:val="00CF00CD"/>
    <w:rsid w:val="00CF20F8"/>
    <w:rsid w:val="00CF4E43"/>
    <w:rsid w:val="00D02BBF"/>
    <w:rsid w:val="00D02E89"/>
    <w:rsid w:val="00D11EFB"/>
    <w:rsid w:val="00D2368E"/>
    <w:rsid w:val="00D246CA"/>
    <w:rsid w:val="00D24A0F"/>
    <w:rsid w:val="00D46E7E"/>
    <w:rsid w:val="00D51859"/>
    <w:rsid w:val="00D6163D"/>
    <w:rsid w:val="00D64D26"/>
    <w:rsid w:val="00D651B2"/>
    <w:rsid w:val="00D666A2"/>
    <w:rsid w:val="00D677F5"/>
    <w:rsid w:val="00D76236"/>
    <w:rsid w:val="00D80BAF"/>
    <w:rsid w:val="00D84652"/>
    <w:rsid w:val="00D8569F"/>
    <w:rsid w:val="00D86112"/>
    <w:rsid w:val="00D91D45"/>
    <w:rsid w:val="00D924E7"/>
    <w:rsid w:val="00D939E2"/>
    <w:rsid w:val="00DA76D1"/>
    <w:rsid w:val="00DA7B19"/>
    <w:rsid w:val="00DB0154"/>
    <w:rsid w:val="00DB0A2D"/>
    <w:rsid w:val="00DB2466"/>
    <w:rsid w:val="00DB3E18"/>
    <w:rsid w:val="00DC06D8"/>
    <w:rsid w:val="00DC22F0"/>
    <w:rsid w:val="00DC695B"/>
    <w:rsid w:val="00DD7253"/>
    <w:rsid w:val="00DE58E7"/>
    <w:rsid w:val="00DF6DAF"/>
    <w:rsid w:val="00E01780"/>
    <w:rsid w:val="00E116C6"/>
    <w:rsid w:val="00E205DD"/>
    <w:rsid w:val="00E26889"/>
    <w:rsid w:val="00E32607"/>
    <w:rsid w:val="00E33045"/>
    <w:rsid w:val="00E4737F"/>
    <w:rsid w:val="00E52434"/>
    <w:rsid w:val="00E53B76"/>
    <w:rsid w:val="00E53E42"/>
    <w:rsid w:val="00E7297F"/>
    <w:rsid w:val="00E81F63"/>
    <w:rsid w:val="00E84E34"/>
    <w:rsid w:val="00E86CDC"/>
    <w:rsid w:val="00E9005A"/>
    <w:rsid w:val="00E92EA8"/>
    <w:rsid w:val="00EA25CB"/>
    <w:rsid w:val="00EC2EC2"/>
    <w:rsid w:val="00ED4AF2"/>
    <w:rsid w:val="00ED7E0F"/>
    <w:rsid w:val="00EE1F9D"/>
    <w:rsid w:val="00EE781D"/>
    <w:rsid w:val="00EF3028"/>
    <w:rsid w:val="00EF695F"/>
    <w:rsid w:val="00EF766E"/>
    <w:rsid w:val="00F148AF"/>
    <w:rsid w:val="00F172C2"/>
    <w:rsid w:val="00F252D6"/>
    <w:rsid w:val="00F256A9"/>
    <w:rsid w:val="00F373C4"/>
    <w:rsid w:val="00F52B28"/>
    <w:rsid w:val="00F73FAF"/>
    <w:rsid w:val="00F83884"/>
    <w:rsid w:val="00F87579"/>
    <w:rsid w:val="00F9127D"/>
    <w:rsid w:val="00F91D6B"/>
    <w:rsid w:val="00FA5FA9"/>
    <w:rsid w:val="00FB42F9"/>
    <w:rsid w:val="00FB753A"/>
    <w:rsid w:val="00FB7E50"/>
    <w:rsid w:val="00FC3576"/>
    <w:rsid w:val="00FD1538"/>
    <w:rsid w:val="00FE2091"/>
    <w:rsid w:val="00FE2B93"/>
    <w:rsid w:val="00FE3141"/>
    <w:rsid w:val="00FE3D12"/>
    <w:rsid w:val="00FE62DC"/>
    <w:rsid w:val="00FF4058"/>
    <w:rsid w:val="00FF7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ACC"/>
    <w:pPr>
      <w:widowControl w:val="0"/>
      <w:jc w:val="both"/>
    </w:pPr>
  </w:style>
  <w:style w:type="paragraph" w:styleId="1">
    <w:name w:val="heading 1"/>
    <w:basedOn w:val="a"/>
    <w:link w:val="1Char"/>
    <w:uiPriority w:val="9"/>
    <w:qFormat/>
    <w:rsid w:val="005326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62A"/>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53262A"/>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003699737">
      <w:bodyDiv w:val="1"/>
      <w:marLeft w:val="0"/>
      <w:marRight w:val="0"/>
      <w:marTop w:val="0"/>
      <w:marBottom w:val="0"/>
      <w:divBdr>
        <w:top w:val="none" w:sz="0" w:space="0" w:color="auto"/>
        <w:left w:val="none" w:sz="0" w:space="0" w:color="auto"/>
        <w:bottom w:val="none" w:sz="0" w:space="0" w:color="auto"/>
        <w:right w:val="none" w:sz="0" w:space="0" w:color="auto"/>
      </w:divBdr>
    </w:div>
    <w:div w:id="10949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736</Words>
  <Characters>4200</Characters>
  <Application>Microsoft Office Word</Application>
  <DocSecurity>0</DocSecurity>
  <Lines>35</Lines>
  <Paragraphs>9</Paragraphs>
  <ScaleCrop>false</ScaleCrop>
  <Company>微软中国</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万户网络</cp:lastModifiedBy>
  <cp:revision>1</cp:revision>
  <dcterms:created xsi:type="dcterms:W3CDTF">2023-01-12T01:31:00Z</dcterms:created>
  <dcterms:modified xsi:type="dcterms:W3CDTF">2023-01-12T01:33:00Z</dcterms:modified>
</cp:coreProperties>
</file>