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BA" w:rsidRDefault="00EE5ABA" w:rsidP="008A25AA">
      <w:pPr>
        <w:autoSpaceDE w:val="0"/>
        <w:autoSpaceDN w:val="0"/>
        <w:adjustRightInd w:val="0"/>
        <w:snapToGrid w:val="0"/>
        <w:spacing w:line="560" w:lineRule="exact"/>
        <w:ind w:firstLineChars="0" w:firstLine="0"/>
        <w:jc w:val="left"/>
        <w:rPr>
          <w:rFonts w:ascii="TimesNewRomanPSMT" w:eastAsia="TimesNewRomanPSMT" w:cs="TimesNewRomanPSMT"/>
          <w:kern w:val="0"/>
          <w:sz w:val="32"/>
          <w:szCs w:val="32"/>
        </w:rPr>
      </w:pPr>
      <w:r>
        <w:rPr>
          <w:rFonts w:ascii="黑体" w:eastAsia="黑体" w:cs="黑体" w:hint="eastAsia"/>
          <w:kern w:val="0"/>
          <w:sz w:val="32"/>
          <w:szCs w:val="32"/>
        </w:rPr>
        <w:t>附件</w:t>
      </w:r>
      <w:r w:rsidR="00E759D4">
        <w:rPr>
          <w:rFonts w:ascii="黑体" w:eastAsia="黑体" w:cs="黑体" w:hint="eastAsia"/>
          <w:kern w:val="0"/>
          <w:sz w:val="32"/>
          <w:szCs w:val="32"/>
        </w:rPr>
        <w:t>5:</w:t>
      </w:r>
    </w:p>
    <w:p w:rsidR="00EE5ABA" w:rsidRPr="00EE5ABA" w:rsidRDefault="00EE5ABA" w:rsidP="008A25AA">
      <w:pPr>
        <w:autoSpaceDE w:val="0"/>
        <w:autoSpaceDN w:val="0"/>
        <w:adjustRightInd w:val="0"/>
        <w:snapToGrid w:val="0"/>
        <w:spacing w:line="560" w:lineRule="exact"/>
        <w:ind w:firstLineChars="0" w:firstLine="0"/>
        <w:jc w:val="center"/>
        <w:rPr>
          <w:rFonts w:ascii="方正小标宋简体" w:eastAsia="方正小标宋简体" w:cs="FZXBSJW--GB1-0"/>
          <w:kern w:val="0"/>
          <w:sz w:val="44"/>
          <w:szCs w:val="44"/>
        </w:rPr>
      </w:pPr>
      <w:r w:rsidRPr="00EE5ABA">
        <w:rPr>
          <w:rFonts w:ascii="方正小标宋简体" w:eastAsia="方正小标宋简体" w:hAnsi="宋体" w:cs="宋体" w:hint="eastAsia"/>
          <w:kern w:val="0"/>
          <w:sz w:val="44"/>
          <w:szCs w:val="44"/>
        </w:rPr>
        <w:t>部分指标和要求说明</w:t>
      </w:r>
    </w:p>
    <w:p w:rsidR="00D25E4C" w:rsidRDefault="00D25E4C"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（一）指标中如对期限无特殊说明，一般使用企业近</w:t>
      </w:r>
      <w:r w:rsidRPr="00EE5ABA">
        <w:rPr>
          <w:rFonts w:ascii="仿宋_GB2312" w:eastAsia="仿宋_GB2312" w:hAnsi="宋体" w:cs="宋体" w:hint="eastAsia"/>
          <w:kern w:val="0"/>
          <w:sz w:val="32"/>
          <w:szCs w:val="32"/>
        </w:rPr>
        <w:t>1</w:t>
      </w:r>
      <w:r w:rsidRPr="00EE5ABA">
        <w:rPr>
          <w:rFonts w:ascii="仿宋_GB2312" w:eastAsia="仿宋_GB2312" w:cs="仿宋_GB2312" w:hint="eastAsia"/>
          <w:kern w:val="0"/>
          <w:sz w:val="32"/>
          <w:szCs w:val="32"/>
        </w:rPr>
        <w:t>年的年度数据，具体定义为：指企业上一完整会计年度，以企业上一年度审计报告期末数为准。对于存在子公司或母公司的企业，按财政部印发的《企业会计准则》有关规定执行。</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（二）所称拥有自主品牌是指主营业务产品或服务具有自主知识产权，且符合下列条件之一：</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TimesNewRomanPSMT" w:hint="eastAsia"/>
          <w:kern w:val="0"/>
          <w:sz w:val="32"/>
          <w:szCs w:val="32"/>
        </w:rPr>
        <w:t>1.</w:t>
      </w:r>
      <w:r w:rsidRPr="00EE5ABA">
        <w:rPr>
          <w:rFonts w:ascii="仿宋_GB2312" w:eastAsia="仿宋_GB2312" w:cs="仿宋_GB2312" w:hint="eastAsia"/>
          <w:kern w:val="0"/>
          <w:sz w:val="32"/>
          <w:szCs w:val="32"/>
        </w:rPr>
        <w:t>产品或服务品牌已经国家知识产权局商标局正式注册。</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TimesNewRomanPSMT" w:hint="eastAsia"/>
          <w:kern w:val="0"/>
          <w:sz w:val="32"/>
          <w:szCs w:val="32"/>
        </w:rPr>
        <w:t>2.</w:t>
      </w:r>
      <w:r w:rsidRPr="00EE5ABA">
        <w:rPr>
          <w:rFonts w:ascii="仿宋_GB2312" w:eastAsia="仿宋_GB2312" w:cs="仿宋_GB2312" w:hint="eastAsia"/>
          <w:kern w:val="0"/>
          <w:sz w:val="32"/>
          <w:szCs w:val="32"/>
        </w:rPr>
        <w:t>产品或服务已经实现收入。</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（三）所称“Ⅰ类知识产权”包括发明专利（含国防专利）、植物新品种、国家级农作物品种、国家新药、国家一级中药保护品种、集成电路布图设计专有权（均不包含转让未满</w:t>
      </w:r>
      <w:r w:rsidRPr="00EE5ABA">
        <w:rPr>
          <w:rFonts w:ascii="仿宋_GB2312" w:eastAsia="仿宋_GB2312" w:hAnsi="宋体" w:cs="宋体" w:hint="eastAsia"/>
          <w:kern w:val="0"/>
          <w:sz w:val="32"/>
          <w:szCs w:val="32"/>
        </w:rPr>
        <w:t>1</w:t>
      </w:r>
      <w:r w:rsidRPr="00EE5ABA">
        <w:rPr>
          <w:rFonts w:ascii="仿宋_GB2312" w:eastAsia="仿宋_GB2312" w:cs="仿宋_GB2312" w:hint="eastAsia"/>
          <w:kern w:val="0"/>
          <w:sz w:val="32"/>
          <w:szCs w:val="32"/>
        </w:rPr>
        <w:t>年的知识产权）。</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（四）所称“Ⅰ类高价值知识产权”须符合以下条件之一：</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TimesNewRomanPSMT" w:hint="eastAsia"/>
          <w:kern w:val="0"/>
          <w:sz w:val="32"/>
          <w:szCs w:val="32"/>
        </w:rPr>
        <w:t>1.</w:t>
      </w:r>
      <w:r w:rsidRPr="00EE5ABA">
        <w:rPr>
          <w:rFonts w:ascii="仿宋_GB2312" w:eastAsia="仿宋_GB2312" w:cs="仿宋_GB2312" w:hint="eastAsia"/>
          <w:kern w:val="0"/>
          <w:sz w:val="32"/>
          <w:szCs w:val="32"/>
        </w:rPr>
        <w:t>在海外有同族专利权的发明专利或在海外取得收入的其他Ⅰ类知识产权，其中专利限</w:t>
      </w:r>
      <w:r w:rsidRPr="00EE5ABA">
        <w:rPr>
          <w:rFonts w:ascii="仿宋_GB2312" w:eastAsia="仿宋_GB2312" w:cs="TimesNewRomanPSMT" w:hint="eastAsia"/>
          <w:kern w:val="0"/>
          <w:sz w:val="32"/>
          <w:szCs w:val="32"/>
        </w:rPr>
        <w:t xml:space="preserve">G20 </w:t>
      </w:r>
      <w:r w:rsidRPr="00EE5ABA">
        <w:rPr>
          <w:rFonts w:ascii="仿宋_GB2312" w:eastAsia="仿宋_GB2312" w:cs="仿宋_GB2312" w:hint="eastAsia"/>
          <w:kern w:val="0"/>
          <w:sz w:val="32"/>
          <w:szCs w:val="32"/>
        </w:rPr>
        <w:t>成员、新加坡以及欧洲专利局经实质审查后获得授权的发明专利。</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TimesNewRomanPSMT" w:hint="eastAsia"/>
          <w:kern w:val="0"/>
          <w:sz w:val="32"/>
          <w:szCs w:val="32"/>
        </w:rPr>
        <w:t>2.</w:t>
      </w:r>
      <w:r w:rsidRPr="00EE5ABA">
        <w:rPr>
          <w:rFonts w:ascii="仿宋_GB2312" w:eastAsia="仿宋_GB2312" w:cs="仿宋_GB2312" w:hint="eastAsia"/>
          <w:kern w:val="0"/>
          <w:sz w:val="32"/>
          <w:szCs w:val="32"/>
        </w:rPr>
        <w:t>维持年限超过</w:t>
      </w:r>
      <w:r w:rsidRPr="00EE5ABA">
        <w:rPr>
          <w:rFonts w:ascii="仿宋_GB2312" w:eastAsia="仿宋_GB2312" w:cs="TimesNewRomanPSMT" w:hint="eastAsia"/>
          <w:kern w:val="0"/>
          <w:sz w:val="32"/>
          <w:szCs w:val="32"/>
        </w:rPr>
        <w:t xml:space="preserve">10 </w:t>
      </w:r>
      <w:r w:rsidRPr="00EE5ABA">
        <w:rPr>
          <w:rFonts w:ascii="仿宋_GB2312" w:eastAsia="仿宋_GB2312" w:cs="仿宋_GB2312" w:hint="eastAsia"/>
          <w:kern w:val="0"/>
          <w:sz w:val="32"/>
          <w:szCs w:val="32"/>
        </w:rPr>
        <w:t>年的Ⅰ类知识产权。</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TimesNewRomanPSMT" w:hint="eastAsia"/>
          <w:kern w:val="0"/>
          <w:sz w:val="32"/>
          <w:szCs w:val="32"/>
        </w:rPr>
        <w:t>3.</w:t>
      </w:r>
      <w:r w:rsidRPr="00EE5ABA">
        <w:rPr>
          <w:rFonts w:ascii="仿宋_GB2312" w:eastAsia="仿宋_GB2312" w:cs="仿宋_GB2312" w:hint="eastAsia"/>
          <w:kern w:val="0"/>
          <w:sz w:val="32"/>
          <w:szCs w:val="32"/>
        </w:rPr>
        <w:t>实现较高质押融资金额的Ⅰ类知识产权。</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TimesNewRomanPSMT" w:hint="eastAsia"/>
          <w:kern w:val="0"/>
          <w:sz w:val="32"/>
          <w:szCs w:val="32"/>
        </w:rPr>
        <w:t>4.</w:t>
      </w:r>
      <w:r w:rsidRPr="00EE5ABA">
        <w:rPr>
          <w:rFonts w:ascii="仿宋_GB2312" w:eastAsia="仿宋_GB2312" w:cs="仿宋_GB2312" w:hint="eastAsia"/>
          <w:kern w:val="0"/>
          <w:sz w:val="32"/>
          <w:szCs w:val="32"/>
        </w:rPr>
        <w:t>获得国家科学技术奖或中国专利奖的Ⅰ类知识产权。</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（五）所称“Ⅱ类知识产权”包括与主导产品相关的软件著作权（不含商标）、授权后维持超过</w:t>
      </w:r>
      <w:r w:rsidRPr="00EE5ABA">
        <w:rPr>
          <w:rFonts w:ascii="仿宋_GB2312" w:eastAsia="仿宋_GB2312" w:cs="TimesNewRomanPSMT" w:hint="eastAsia"/>
          <w:kern w:val="0"/>
          <w:sz w:val="32"/>
          <w:szCs w:val="32"/>
        </w:rPr>
        <w:t xml:space="preserve">2 </w:t>
      </w:r>
      <w:r w:rsidRPr="00EE5ABA">
        <w:rPr>
          <w:rFonts w:ascii="仿宋_GB2312" w:eastAsia="仿宋_GB2312" w:cs="仿宋_GB2312" w:hint="eastAsia"/>
          <w:kern w:val="0"/>
          <w:sz w:val="32"/>
          <w:szCs w:val="32"/>
        </w:rPr>
        <w:t>年的实用新型专利或外观设计专利（均不包含转让未满</w:t>
      </w:r>
      <w:r w:rsidRPr="00EE5ABA">
        <w:rPr>
          <w:rFonts w:ascii="仿宋_GB2312" w:eastAsia="仿宋_GB2312" w:cs="TimesNewRomanPSMT" w:hint="eastAsia"/>
          <w:kern w:val="0"/>
          <w:sz w:val="32"/>
          <w:szCs w:val="32"/>
        </w:rPr>
        <w:t xml:space="preserve">1 </w:t>
      </w:r>
      <w:r w:rsidRPr="00EE5ABA">
        <w:rPr>
          <w:rFonts w:ascii="仿宋_GB2312" w:eastAsia="仿宋_GB2312" w:cs="仿宋_GB2312" w:hint="eastAsia"/>
          <w:kern w:val="0"/>
          <w:sz w:val="32"/>
          <w:szCs w:val="32"/>
        </w:rPr>
        <w:t>年的知识产权）。</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lastRenderedPageBreak/>
        <w:t>（六）所称“企业数字化转型水平”是指在优质中小企业梯度培育平台完成数字化水平免费自测，具体自测网址、相关标准等事宜，另行明确。</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（八）所称“股权融资”是指公司股东稀释部分公司股权给投资人，以增资扩股（出让股权不超过</w:t>
      </w:r>
      <w:r w:rsidRPr="00EE5ABA">
        <w:rPr>
          <w:rFonts w:ascii="仿宋_GB2312" w:eastAsia="仿宋_GB2312" w:cs="TimesNewRomanPSMT" w:hint="eastAsia"/>
          <w:kern w:val="0"/>
          <w:sz w:val="32"/>
          <w:szCs w:val="32"/>
        </w:rPr>
        <w:t>30%</w:t>
      </w:r>
      <w:r w:rsidRPr="00EE5ABA">
        <w:rPr>
          <w:rFonts w:ascii="仿宋_GB2312" w:eastAsia="仿宋_GB2312" w:cs="仿宋_GB2312" w:hint="eastAsia"/>
          <w:kern w:val="0"/>
          <w:sz w:val="32"/>
          <w:szCs w:val="32"/>
        </w:rPr>
        <w:t>）的方式引进新的股东，从而取得公司融资的方式。</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（九）所称“合格机构投资者”是指符合《创业投资企业管理暂行办法》（发展改革委等</w:t>
      </w:r>
      <w:r w:rsidRPr="00EE5ABA">
        <w:rPr>
          <w:rFonts w:ascii="仿宋_GB2312" w:eastAsia="仿宋_GB2312" w:cs="TimesNewRomanPSMT" w:hint="eastAsia"/>
          <w:kern w:val="0"/>
          <w:sz w:val="32"/>
          <w:szCs w:val="32"/>
        </w:rPr>
        <w:t xml:space="preserve">10 </w:t>
      </w:r>
      <w:r w:rsidRPr="00EE5ABA">
        <w:rPr>
          <w:rFonts w:ascii="仿宋_GB2312" w:eastAsia="仿宋_GB2312" w:cs="仿宋_GB2312" w:hint="eastAsia"/>
          <w:kern w:val="0"/>
          <w:sz w:val="32"/>
          <w:szCs w:val="32"/>
        </w:rPr>
        <w:t>部门令第</w:t>
      </w:r>
      <w:r w:rsidRPr="00EE5ABA">
        <w:rPr>
          <w:rFonts w:ascii="仿宋_GB2312" w:eastAsia="仿宋_GB2312" w:cs="TimesNewRomanPSMT" w:hint="eastAsia"/>
          <w:kern w:val="0"/>
          <w:sz w:val="32"/>
          <w:szCs w:val="32"/>
        </w:rPr>
        <w:t xml:space="preserve">39 </w:t>
      </w:r>
      <w:r w:rsidRPr="00EE5ABA">
        <w:rPr>
          <w:rFonts w:ascii="仿宋_GB2312" w:eastAsia="仿宋_GB2312" w:cs="仿宋_GB2312" w:hint="eastAsia"/>
          <w:kern w:val="0"/>
          <w:sz w:val="32"/>
          <w:szCs w:val="32"/>
        </w:rPr>
        <w:t>号）或者《私募投资基金监督管理暂行办法》（证监会令第</w:t>
      </w:r>
      <w:r w:rsidRPr="00EE5ABA">
        <w:rPr>
          <w:rFonts w:ascii="仿宋_GB2312" w:eastAsia="仿宋_GB2312" w:cs="TimesNewRomanPSMT" w:hint="eastAsia"/>
          <w:kern w:val="0"/>
          <w:sz w:val="32"/>
          <w:szCs w:val="32"/>
        </w:rPr>
        <w:t xml:space="preserve">105 </w:t>
      </w:r>
      <w:r w:rsidRPr="00EE5ABA">
        <w:rPr>
          <w:rFonts w:ascii="仿宋_GB2312" w:eastAsia="仿宋_GB2312" w:cs="仿宋_GB2312" w:hint="eastAsia"/>
          <w:kern w:val="0"/>
          <w:sz w:val="32"/>
          <w:szCs w:val="32"/>
        </w:rPr>
        <w:t>号）相关规定，按照上述规定完成备案且规范运作的创业投资基金及私募股权投资基金。</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（十）所称“主导产品”是指企业核心技术在产品中发挥重要作用，且产品收入之和占企业同期营业收入比重超过</w:t>
      </w:r>
      <w:r w:rsidRPr="00EE5ABA">
        <w:rPr>
          <w:rFonts w:ascii="仿宋_GB2312" w:eastAsia="仿宋_GB2312" w:cs="TimesNewRomanPSMT" w:hint="eastAsia"/>
          <w:kern w:val="0"/>
          <w:sz w:val="32"/>
          <w:szCs w:val="32"/>
        </w:rPr>
        <w:t>50%</w:t>
      </w:r>
      <w:r w:rsidRPr="00EE5ABA">
        <w:rPr>
          <w:rFonts w:ascii="仿宋_GB2312" w:eastAsia="仿宋_GB2312" w:cs="仿宋_GB2312" w:hint="eastAsia"/>
          <w:kern w:val="0"/>
          <w:sz w:val="32"/>
          <w:szCs w:val="32"/>
        </w:rPr>
        <w:t>。</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（十一）所称“主导产品在全国细分市场占有率达</w:t>
      </w:r>
      <w:r w:rsidRPr="00EE5ABA">
        <w:rPr>
          <w:rFonts w:ascii="仿宋_GB2312" w:eastAsia="仿宋_GB2312" w:cs="TimesNewRomanPSMT" w:hint="eastAsia"/>
          <w:kern w:val="0"/>
          <w:sz w:val="32"/>
          <w:szCs w:val="32"/>
        </w:rPr>
        <w:t>10%</w:t>
      </w:r>
      <w:r w:rsidRPr="00EE5ABA">
        <w:rPr>
          <w:rFonts w:ascii="仿宋_GB2312" w:eastAsia="仿宋_GB2312" w:cs="仿宋_GB2312" w:hint="eastAsia"/>
          <w:kern w:val="0"/>
          <w:sz w:val="32"/>
          <w:szCs w:val="32"/>
        </w:rPr>
        <w:t>以上，且享有较高知名度和影响力”可通过企业自证或其他方式佐证。</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（十二）所称“省级科技奖励”包括各省、自治区、直辖市科学技术奖的一、二、三等奖；“国家级科技奖励”包括国家科学技术进步奖、国家自然科学奖、国家技术发明奖，以及国防科</w:t>
      </w:r>
      <w:r w:rsidRPr="00EE5ABA">
        <w:rPr>
          <w:rFonts w:ascii="仿宋_GB2312" w:eastAsia="仿宋_GB2312" w:cs="仿宋_GB2312" w:hint="eastAsia"/>
          <w:kern w:val="0"/>
          <w:sz w:val="32"/>
          <w:szCs w:val="32"/>
        </w:rPr>
        <w:lastRenderedPageBreak/>
        <w:t>技奖。</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（十三）如无特殊说明，所称“以上”、“以下”，包括本数；所称的“超过”，不包括本数。在计算评价指标得分时，如指标值位于两个评分区间边界上，按高分计算得分。</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（十四）本办法部分指标计算公式</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近</w:t>
      </w:r>
      <w:r w:rsidRPr="00EE5ABA">
        <w:rPr>
          <w:rFonts w:ascii="仿宋_GB2312" w:eastAsia="仿宋_GB2312" w:cs="TimesNewRomanPSMT" w:hint="eastAsia"/>
          <w:kern w:val="0"/>
          <w:sz w:val="32"/>
          <w:szCs w:val="32"/>
        </w:rPr>
        <w:t xml:space="preserve">2 </w:t>
      </w:r>
      <w:r w:rsidRPr="00EE5ABA">
        <w:rPr>
          <w:rFonts w:ascii="仿宋_GB2312" w:eastAsia="仿宋_GB2312" w:cs="仿宋_GB2312" w:hint="eastAsia"/>
          <w:kern w:val="0"/>
          <w:sz w:val="32"/>
          <w:szCs w:val="32"/>
        </w:rPr>
        <w:t>年主营业务收入平均增长率</w:t>
      </w:r>
      <w:r w:rsidRPr="00EE5ABA">
        <w:rPr>
          <w:rFonts w:ascii="仿宋_GB2312" w:eastAsia="仿宋_GB2312" w:cs="TimesNewRomanPSMT" w:hint="eastAsia"/>
          <w:kern w:val="0"/>
          <w:sz w:val="32"/>
          <w:szCs w:val="32"/>
        </w:rPr>
        <w:t>=</w:t>
      </w:r>
      <w:r w:rsidRPr="00EE5ABA">
        <w:rPr>
          <w:rFonts w:ascii="仿宋_GB2312" w:eastAsia="仿宋_GB2312" w:cs="仿宋_GB2312" w:hint="eastAsia"/>
          <w:kern w:val="0"/>
          <w:sz w:val="32"/>
          <w:szCs w:val="32"/>
        </w:rPr>
        <w:t>（企业上一年度主营业务收入增长率</w:t>
      </w:r>
      <w:r w:rsidRPr="00EE5ABA">
        <w:rPr>
          <w:rFonts w:ascii="仿宋_GB2312" w:eastAsia="仿宋_GB2312" w:cs="TimesNewRomanPSMT" w:hint="eastAsia"/>
          <w:kern w:val="0"/>
          <w:sz w:val="32"/>
          <w:szCs w:val="32"/>
        </w:rPr>
        <w:t>+</w:t>
      </w:r>
      <w:r w:rsidRPr="00EE5ABA">
        <w:rPr>
          <w:rFonts w:ascii="仿宋_GB2312" w:eastAsia="仿宋_GB2312" w:cs="仿宋_GB2312" w:hint="eastAsia"/>
          <w:kern w:val="0"/>
          <w:sz w:val="32"/>
          <w:szCs w:val="32"/>
        </w:rPr>
        <w:t>企业上上年度主营业务收入增长率）</w:t>
      </w:r>
      <w:r w:rsidRPr="00EE5ABA">
        <w:rPr>
          <w:rFonts w:ascii="仿宋_GB2312" w:eastAsia="仿宋_GB2312" w:cs="TimesNewRomanPSMT" w:hint="eastAsia"/>
          <w:kern w:val="0"/>
          <w:sz w:val="32"/>
          <w:szCs w:val="32"/>
        </w:rPr>
        <w:t>/2</w:t>
      </w:r>
      <w:r w:rsidRPr="00EE5ABA">
        <w:rPr>
          <w:rFonts w:ascii="仿宋_GB2312" w:eastAsia="仿宋_GB2312" w:cs="仿宋_GB2312" w:hint="eastAsia"/>
          <w:kern w:val="0"/>
          <w:sz w:val="32"/>
          <w:szCs w:val="32"/>
        </w:rPr>
        <w:t>。</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企业上一年度主营业务收入增长率</w:t>
      </w:r>
      <w:r w:rsidRPr="00EE5ABA">
        <w:rPr>
          <w:rFonts w:ascii="仿宋_GB2312" w:eastAsia="仿宋_GB2312" w:cs="TimesNewRomanPSMT" w:hint="eastAsia"/>
          <w:kern w:val="0"/>
          <w:sz w:val="32"/>
          <w:szCs w:val="32"/>
        </w:rPr>
        <w:t>=</w:t>
      </w:r>
      <w:r w:rsidRPr="00EE5ABA">
        <w:rPr>
          <w:rFonts w:ascii="仿宋_GB2312" w:eastAsia="仿宋_GB2312" w:cs="仿宋_GB2312" w:hint="eastAsia"/>
          <w:kern w:val="0"/>
          <w:sz w:val="32"/>
          <w:szCs w:val="32"/>
        </w:rPr>
        <w:t>（企业上一年度主营业务收入总额</w:t>
      </w:r>
      <w:r w:rsidRPr="00EE5ABA">
        <w:rPr>
          <w:rFonts w:ascii="仿宋_GB2312" w:eastAsia="仿宋_GB2312" w:cs="TimesNewRomanPSMT" w:hint="eastAsia"/>
          <w:kern w:val="0"/>
          <w:sz w:val="32"/>
          <w:szCs w:val="32"/>
        </w:rPr>
        <w:t>-</w:t>
      </w:r>
      <w:r w:rsidRPr="00EE5ABA">
        <w:rPr>
          <w:rFonts w:ascii="仿宋_GB2312" w:eastAsia="仿宋_GB2312" w:cs="仿宋_GB2312" w:hint="eastAsia"/>
          <w:kern w:val="0"/>
          <w:sz w:val="32"/>
          <w:szCs w:val="32"/>
        </w:rPr>
        <w:t>企业上上年度主营业务收入总额）</w:t>
      </w:r>
      <w:r w:rsidRPr="00EE5ABA">
        <w:rPr>
          <w:rFonts w:ascii="仿宋_GB2312" w:eastAsia="仿宋_GB2312" w:cs="TimesNewRomanPSMT" w:hint="eastAsia"/>
          <w:kern w:val="0"/>
          <w:sz w:val="32"/>
          <w:szCs w:val="32"/>
        </w:rPr>
        <w:t>/</w:t>
      </w:r>
      <w:r w:rsidRPr="00EE5ABA">
        <w:rPr>
          <w:rFonts w:ascii="仿宋_GB2312" w:eastAsia="仿宋_GB2312" w:cs="仿宋_GB2312" w:hint="eastAsia"/>
          <w:kern w:val="0"/>
          <w:sz w:val="32"/>
          <w:szCs w:val="32"/>
        </w:rPr>
        <w:t>企业上上年度主营业务收入总额</w:t>
      </w:r>
      <w:r w:rsidRPr="00EE5ABA">
        <w:rPr>
          <w:rFonts w:ascii="仿宋_GB2312" w:eastAsia="仿宋_GB2312" w:cs="TimesNewRomanPSMT" w:hint="eastAsia"/>
          <w:kern w:val="0"/>
          <w:sz w:val="32"/>
          <w:szCs w:val="32"/>
        </w:rPr>
        <w:t>*100%</w:t>
      </w:r>
      <w:r w:rsidRPr="00EE5ABA">
        <w:rPr>
          <w:rFonts w:ascii="仿宋_GB2312" w:eastAsia="仿宋_GB2312" w:cs="仿宋_GB2312" w:hint="eastAsia"/>
          <w:kern w:val="0"/>
          <w:sz w:val="32"/>
          <w:szCs w:val="32"/>
        </w:rPr>
        <w:t>。其他年度主营业务收入增长率计算方法以此类推。</w:t>
      </w:r>
    </w:p>
    <w:p w:rsidR="00EE5ABA" w:rsidRPr="00EE5ABA" w:rsidRDefault="00EE5ABA" w:rsidP="008A25AA">
      <w:pPr>
        <w:autoSpaceDE w:val="0"/>
        <w:autoSpaceDN w:val="0"/>
        <w:adjustRightInd w:val="0"/>
        <w:snapToGrid w:val="0"/>
        <w:spacing w:line="560" w:lineRule="exact"/>
        <w:ind w:firstLine="640"/>
        <w:jc w:val="left"/>
        <w:rPr>
          <w:rFonts w:ascii="仿宋_GB2312" w:eastAsia="仿宋_GB2312" w:cs="仿宋_GB2312"/>
          <w:kern w:val="0"/>
          <w:sz w:val="32"/>
          <w:szCs w:val="32"/>
        </w:rPr>
      </w:pPr>
      <w:r w:rsidRPr="00EE5ABA">
        <w:rPr>
          <w:rFonts w:ascii="仿宋_GB2312" w:eastAsia="仿宋_GB2312" w:cs="仿宋_GB2312" w:hint="eastAsia"/>
          <w:kern w:val="0"/>
          <w:sz w:val="32"/>
          <w:szCs w:val="32"/>
        </w:rPr>
        <w:t>（十五）所称“被列入经营异常名录”以国家企业信用信息公示系统（</w:t>
      </w:r>
      <w:r w:rsidRPr="00EE5ABA">
        <w:rPr>
          <w:rFonts w:ascii="仿宋_GB2312" w:eastAsia="仿宋_GB2312" w:cs="TimesNewRomanPSMT" w:hint="eastAsia"/>
          <w:kern w:val="0"/>
          <w:sz w:val="32"/>
          <w:szCs w:val="32"/>
        </w:rPr>
        <w:t>http://www.gsxt.gov.cn</w:t>
      </w:r>
      <w:r w:rsidRPr="00EE5ABA">
        <w:rPr>
          <w:rFonts w:ascii="仿宋_GB2312" w:eastAsia="仿宋_GB2312" w:cs="仿宋_GB2312" w:hint="eastAsia"/>
          <w:kern w:val="0"/>
          <w:sz w:val="32"/>
          <w:szCs w:val="32"/>
        </w:rPr>
        <w:t>）查询结果为准；所称“严重失信主体名单”以信用中国（</w:t>
      </w:r>
      <w:r w:rsidRPr="00EE5ABA">
        <w:rPr>
          <w:rFonts w:ascii="仿宋_GB2312" w:eastAsia="仿宋_GB2312" w:cs="TimesNewRomanPSMT" w:hint="eastAsia"/>
          <w:kern w:val="0"/>
          <w:sz w:val="32"/>
          <w:szCs w:val="32"/>
        </w:rPr>
        <w:t>http://www.creditchina.gov.cn</w:t>
      </w:r>
      <w:r w:rsidRPr="00EE5ABA">
        <w:rPr>
          <w:rFonts w:ascii="仿宋_GB2312" w:eastAsia="仿宋_GB2312" w:cs="仿宋_GB2312" w:hint="eastAsia"/>
          <w:kern w:val="0"/>
          <w:sz w:val="32"/>
          <w:szCs w:val="32"/>
        </w:rPr>
        <w:t>）查询结果为准。</w:t>
      </w:r>
    </w:p>
    <w:p w:rsidR="00370235" w:rsidRPr="00D25E4C" w:rsidRDefault="00EE5ABA" w:rsidP="008A25AA">
      <w:pPr>
        <w:autoSpaceDE w:val="0"/>
        <w:autoSpaceDN w:val="0"/>
        <w:adjustRightInd w:val="0"/>
        <w:snapToGrid w:val="0"/>
        <w:spacing w:line="560" w:lineRule="exact"/>
        <w:ind w:firstLine="640"/>
        <w:jc w:val="left"/>
        <w:rPr>
          <w:rFonts w:ascii="仿宋_GB2312" w:eastAsia="仿宋_GB2312" w:cs="TimesNewRomanPSMT"/>
          <w:kern w:val="0"/>
          <w:sz w:val="32"/>
          <w:szCs w:val="32"/>
        </w:rPr>
      </w:pPr>
      <w:r w:rsidRPr="00EE5ABA">
        <w:rPr>
          <w:rFonts w:ascii="仿宋_GB2312" w:eastAsia="仿宋_GB2312" w:cs="仿宋_GB2312" w:hint="eastAsia"/>
          <w:kern w:val="0"/>
          <w:sz w:val="32"/>
          <w:szCs w:val="32"/>
        </w:rPr>
        <w:t>（十六）所称“创客中国”中小企业创新创业大赛全国</w:t>
      </w:r>
      <w:r w:rsidRPr="00EE5ABA">
        <w:rPr>
          <w:rFonts w:ascii="仿宋_GB2312" w:eastAsia="仿宋_GB2312" w:cs="TimesNewRomanPSMT" w:hint="eastAsia"/>
          <w:kern w:val="0"/>
          <w:sz w:val="32"/>
          <w:szCs w:val="32"/>
        </w:rPr>
        <w:t>500</w:t>
      </w:r>
      <w:r w:rsidRPr="00EE5ABA">
        <w:rPr>
          <w:rFonts w:ascii="仿宋_GB2312" w:eastAsia="仿宋_GB2312" w:cs="仿宋_GB2312" w:hint="eastAsia"/>
          <w:kern w:val="0"/>
          <w:sz w:val="32"/>
          <w:szCs w:val="32"/>
        </w:rPr>
        <w:t>强、</w:t>
      </w:r>
      <w:r w:rsidRPr="00EE5ABA">
        <w:rPr>
          <w:rFonts w:ascii="仿宋_GB2312" w:eastAsia="仿宋_GB2312" w:cs="TimesNewRomanPSMT" w:hint="eastAsia"/>
          <w:kern w:val="0"/>
          <w:sz w:val="32"/>
          <w:szCs w:val="32"/>
        </w:rPr>
        <w:t xml:space="preserve">50 </w:t>
      </w:r>
      <w:r w:rsidRPr="00EE5ABA">
        <w:rPr>
          <w:rFonts w:ascii="仿宋_GB2312" w:eastAsia="仿宋_GB2312" w:cs="仿宋_GB2312" w:hint="eastAsia"/>
          <w:kern w:val="0"/>
          <w:sz w:val="32"/>
          <w:szCs w:val="32"/>
        </w:rPr>
        <w:t>强企业组名单是指该大赛</w:t>
      </w:r>
      <w:r w:rsidRPr="00EE5ABA">
        <w:rPr>
          <w:rFonts w:ascii="仿宋_GB2312" w:eastAsia="仿宋_GB2312" w:cs="TimesNewRomanPSMT" w:hint="eastAsia"/>
          <w:kern w:val="0"/>
          <w:sz w:val="32"/>
          <w:szCs w:val="32"/>
        </w:rPr>
        <w:t xml:space="preserve">2021 </w:t>
      </w:r>
      <w:r w:rsidRPr="00EE5ABA">
        <w:rPr>
          <w:rFonts w:ascii="仿宋_GB2312" w:eastAsia="仿宋_GB2312" w:cs="仿宋_GB2312" w:hint="eastAsia"/>
          <w:kern w:val="0"/>
          <w:sz w:val="32"/>
          <w:szCs w:val="32"/>
        </w:rPr>
        <w:t>年以来正式发布的名单。</w:t>
      </w:r>
    </w:p>
    <w:sectPr w:rsidR="00370235" w:rsidRPr="00D25E4C" w:rsidSect="008A25AA">
      <w:headerReference w:type="even" r:id="rId6"/>
      <w:headerReference w:type="default" r:id="rId7"/>
      <w:footerReference w:type="even" r:id="rId8"/>
      <w:footerReference w:type="default" r:id="rId9"/>
      <w:headerReference w:type="first" r:id="rId10"/>
      <w:footerReference w:type="first" r:id="rId11"/>
      <w:pgSz w:w="11906" w:h="16838"/>
      <w:pgMar w:top="1418"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247" w:rsidRDefault="004E7247" w:rsidP="00AB1020">
      <w:pPr>
        <w:ind w:firstLine="420"/>
      </w:pPr>
      <w:r>
        <w:separator/>
      </w:r>
    </w:p>
  </w:endnote>
  <w:endnote w:type="continuationSeparator" w:id="0">
    <w:p w:rsidR="004E7247" w:rsidRDefault="004E7247" w:rsidP="00AB102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华文新魏"/>
    <w:panose1 w:val="00000000000000000000"/>
    <w:charset w:val="86"/>
    <w:family w:val="auto"/>
    <w:notTrueType/>
    <w:pitch w:val="default"/>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FZXBSJW--GB1-0">
    <w:altName w:val="SJQY"/>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AA" w:rsidRDefault="008A25AA" w:rsidP="008A25A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AA" w:rsidRDefault="008A25AA" w:rsidP="008A25A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AA" w:rsidRDefault="008A25AA" w:rsidP="008A25A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247" w:rsidRDefault="004E7247" w:rsidP="00AB1020">
      <w:pPr>
        <w:ind w:firstLine="420"/>
      </w:pPr>
      <w:r>
        <w:separator/>
      </w:r>
    </w:p>
  </w:footnote>
  <w:footnote w:type="continuationSeparator" w:id="0">
    <w:p w:rsidR="004E7247" w:rsidRDefault="004E7247" w:rsidP="00AB1020">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AA" w:rsidRDefault="008A25AA" w:rsidP="008A25AA">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AA" w:rsidRDefault="008A25AA" w:rsidP="008A25AA">
    <w:pPr>
      <w:pStyle w:val="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AA" w:rsidRDefault="008A25AA" w:rsidP="008A25AA">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ABA"/>
    <w:rsid w:val="00370235"/>
    <w:rsid w:val="004E7247"/>
    <w:rsid w:val="008A25AA"/>
    <w:rsid w:val="00AB1020"/>
    <w:rsid w:val="00BD2547"/>
    <w:rsid w:val="00C64FFB"/>
    <w:rsid w:val="00C70978"/>
    <w:rsid w:val="00D25E4C"/>
    <w:rsid w:val="00D51F7C"/>
    <w:rsid w:val="00E759D4"/>
    <w:rsid w:val="00EE5A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A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ABA"/>
    <w:rPr>
      <w:sz w:val="18"/>
      <w:szCs w:val="18"/>
    </w:rPr>
  </w:style>
  <w:style w:type="paragraph" w:styleId="a4">
    <w:name w:val="footer"/>
    <w:basedOn w:val="a"/>
    <w:link w:val="Char0"/>
    <w:uiPriority w:val="99"/>
    <w:semiHidden/>
    <w:unhideWhenUsed/>
    <w:rsid w:val="00EE5A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ABA"/>
    <w:rPr>
      <w:sz w:val="18"/>
      <w:szCs w:val="18"/>
    </w:rPr>
  </w:style>
  <w:style w:type="paragraph" w:customStyle="1" w:styleId="1">
    <w:name w:val="样式1"/>
    <w:basedOn w:val="a3"/>
    <w:link w:val="1Char"/>
    <w:qFormat/>
    <w:rsid w:val="008A25AA"/>
    <w:pPr>
      <w:pBdr>
        <w:bottom w:val="none" w:sz="0" w:space="0" w:color="auto"/>
      </w:pBdr>
      <w:ind w:firstLine="360"/>
    </w:pPr>
  </w:style>
  <w:style w:type="character" w:customStyle="1" w:styleId="1Char">
    <w:name w:val="样式1 Char"/>
    <w:basedOn w:val="Char"/>
    <w:link w:val="1"/>
    <w:rsid w:val="008A25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731</Words>
  <Characters>864</Characters>
  <Application>Microsoft Office Word</Application>
  <DocSecurity>0</DocSecurity>
  <Lines>144</Lines>
  <Paragraphs>106</Paragraphs>
  <ScaleCrop>false</ScaleCrop>
  <Company>微软中国</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cp:revision>
  <cp:lastPrinted>2022-09-27T01:33:00Z</cp:lastPrinted>
  <dcterms:created xsi:type="dcterms:W3CDTF">2022-09-26T01:16:00Z</dcterms:created>
  <dcterms:modified xsi:type="dcterms:W3CDTF">2022-09-27T01:33:00Z</dcterms:modified>
</cp:coreProperties>
</file>