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祁政办秘</w:t>
      </w:r>
      <w:r w:rsidRPr="002746E4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2022</w:t>
      </w:r>
      <w:r w:rsidRPr="002746E4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2746E4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祁门县人民政府办公室关于进一步规范政府</w:t>
      </w: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2746E4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信息公开</w:t>
      </w:r>
      <w:r w:rsidRPr="002746E4">
        <w:rPr>
          <w:rFonts w:ascii="Times New Roman" w:eastAsia="方正小标宋简体" w:hAnsi="Times New Roman" w:cs="Times New Roman"/>
          <w:color w:val="000000"/>
          <w:sz w:val="44"/>
          <w:szCs w:val="44"/>
        </w:rPr>
        <w:t>“</w:t>
      </w:r>
      <w:r w:rsidRPr="002746E4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三审</w:t>
      </w:r>
      <w:r w:rsidRPr="002746E4">
        <w:rPr>
          <w:rFonts w:ascii="Times New Roman" w:eastAsia="方正小标宋简体" w:hAnsi="Times New Roman" w:cs="Times New Roman"/>
          <w:color w:val="000000"/>
          <w:sz w:val="44"/>
          <w:szCs w:val="44"/>
        </w:rPr>
        <w:t>”</w:t>
      </w:r>
      <w:r w:rsidRPr="002746E4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工作的通知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各乡、镇人民政府，县政府各部门、各直属机构：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为加强全县政府网站和政务新媒体管理，进一步推进政府信息发布规范化、制度化，确保信息发布准确、安全、高效，现就规范政府信息公开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三审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（办公室或经办负责人初审、单位分管负责人审核、单位主要负责人终审）工作通知如下：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黑体" w:hAnsi="Times New Roman"/>
          <w:color w:val="000000"/>
          <w:sz w:val="32"/>
          <w:szCs w:val="32"/>
        </w:rPr>
      </w:pPr>
      <w:r w:rsidRPr="002746E4">
        <w:rPr>
          <w:rFonts w:ascii="Times New Roman" w:eastAsia="黑体" w:hAnsi="黑体" w:cs="黑体" w:hint="eastAsia"/>
          <w:color w:val="000000"/>
          <w:sz w:val="32"/>
          <w:szCs w:val="32"/>
        </w:rPr>
        <w:t>一、进一步健全政府信息公开审查机制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新修订的《中华人民共和国政府信息公开条例》（以下简称《条例》）第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17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条规定：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行政机关应当建立健全政府信息公开审查机制，明确审查的程序和责任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。各乡镇各部门要健全完善本单位政府信息公开审查机制，进一步明确审查程序和审查的主体责任，严格遵循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谁公开、谁审查，谁审查、谁负责，先审查、后公开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的政府信息发布原则，确保所发布的信息内容准确、合法、合规。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黑体" w:hAnsi="Times New Roman"/>
          <w:color w:val="000000"/>
          <w:sz w:val="32"/>
          <w:szCs w:val="32"/>
        </w:rPr>
      </w:pPr>
      <w:r w:rsidRPr="002746E4">
        <w:rPr>
          <w:rFonts w:ascii="Times New Roman" w:eastAsia="黑体" w:hAnsi="黑体" w:cs="黑体" w:hint="eastAsia"/>
          <w:color w:val="000000"/>
          <w:sz w:val="32"/>
          <w:szCs w:val="32"/>
        </w:rPr>
        <w:t>二、进一步明确政府信息公开审查环节</w:t>
      </w:r>
    </w:p>
    <w:p w:rsidR="00226D45" w:rsidRPr="002746E4" w:rsidRDefault="00226D45" w:rsidP="002746E4">
      <w:pPr>
        <w:topLinePunct/>
        <w:adjustRightInd w:val="0"/>
        <w:snapToGrid w:val="0"/>
        <w:spacing w:line="550" w:lineRule="exact"/>
        <w:ind w:firstLineChars="200" w:firstLine="31680"/>
        <w:rPr>
          <w:rFonts w:ascii="Times New Roman" w:eastAsia="楷体_GB2312" w:hAnsi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（一）审查拟公开的政府信息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公文类拟公开政府信息审查。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公文类政府信息在拟稿时应明确此件公开发布、此件依申请公开、此件不予公开等属性，随公文一并报批，拟不公开的，应当说明理由。对拟不公开的政策性公文，报批前应送本单位政府信息公开工作机构审查同意。属性为主动公开的公文，应在印发之日起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个工作日内向社会公开。行政规范性文件公开属性须为此件公开发布，公开时配套政策解读材料同步发布。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非公文类拟公开政府信息审查。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严格执行信息发布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三审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制，即办公室或经办负责人初审、单位分管负责人复审、单位主要负责人终审，按照有关法律法规要求已经履行报批程序且属于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政府信息公开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专栏主动公开目录的信息除外。自政府信息形成或变更之日起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5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个工作日内完成内容审核和公开属性审查，属主动公开范围的，应及时向社会公开。法律、法规对政府信息公开的期限另有规定的，从其规定。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楷体_GB2312" w:hAnsi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2746E4">
        <w:rPr>
          <w:rFonts w:ascii="Times New Roman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（二）审查拟办理的政府信息公开申请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2"/>
          <w:szCs w:val="32"/>
        </w:rPr>
        <w:t>．</w:t>
      </w:r>
      <w:r w:rsidRPr="002746E4">
        <w:rPr>
          <w:rFonts w:ascii="Times New Roman" w:eastAsia="仿宋_GB2312" w:hAnsi="仿宋_GB2312" w:cs="仿宋_GB2312" w:hint="eastAsia"/>
          <w:b/>
          <w:bCs/>
          <w:color w:val="000000"/>
          <w:sz w:val="32"/>
          <w:szCs w:val="32"/>
        </w:rPr>
        <w:t>受理审查。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各乡镇各部门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政府信息公开工作机构对申请人提交的政府信息公开申请进行审查，重点审查申请材料是否符合规定要求、是否需要补正、是否属于重复申请等内容。对申请内容不明确或不完整的，应当告知申请人作出补正；对重复申请的，告知申请人不再重复处理。对符合《条例》及其他有关法律法规规定的政府信息公开申请，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各乡镇各部门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应当予以受理。</w:t>
      </w:r>
    </w:p>
    <w:p w:rsidR="00226D45" w:rsidRPr="002746E4" w:rsidRDefault="00226D45" w:rsidP="00753F93">
      <w:pPr>
        <w:pStyle w:val="NormalWeb"/>
        <w:shd w:val="clear" w:color="auto" w:fill="FFFFFF"/>
        <w:topLinePunct/>
        <w:adjustRightInd w:val="0"/>
        <w:snapToGrid w:val="0"/>
        <w:spacing w:before="0" w:beforeAutospacing="0" w:after="0" w:afterAutospacing="0" w:line="580" w:lineRule="exact"/>
        <w:ind w:firstLineChars="200" w:firstLine="3168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2"/>
          <w:sz w:val="32"/>
          <w:szCs w:val="32"/>
        </w:rPr>
        <w:t>．</w:t>
      </w:r>
      <w:r w:rsidRPr="002746E4">
        <w:rPr>
          <w:rFonts w:ascii="Times New Roman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答复审查。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各乡镇各部门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政府信息公开工作机构负责做好拟答复意见的审查工作，重点审查申请信息是否涉及国家秘密，涉及共同制作的政府信息、公开会损害第三方合法权益的是否履行了征求意见等程序，答复意见是否合法等内容。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黑体" w:hAnsi="Times New Roman"/>
          <w:color w:val="000000"/>
          <w:sz w:val="32"/>
          <w:szCs w:val="32"/>
        </w:rPr>
      </w:pPr>
      <w:r w:rsidRPr="002746E4">
        <w:rPr>
          <w:rFonts w:ascii="Times New Roman" w:eastAsia="黑体" w:hAnsi="黑体" w:cs="黑体" w:hint="eastAsia"/>
          <w:color w:val="000000"/>
          <w:sz w:val="32"/>
          <w:szCs w:val="32"/>
        </w:rPr>
        <w:t>三、进一步加强政府信息公开内容审查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根据《保守国家秘密法》《条例》等法律法规的规定，各乡镇各部门在政府信息公开发布审核工作中，应当实行实质性审查，重点审查以下内容：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依法被确定为国家秘密的政府信息。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法律、行政法规禁止公开的政府信息。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公开后可能危及国家安全、公共安全、经济安全、社会稳定的政府信息。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pacing w:val="-6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涉及商业秘密、个人隐私等公开会对第三方合法权益造成损害的政府信息，行政机关不得公开。但是第三方同意公开或</w:t>
      </w:r>
      <w:r w:rsidRPr="002746E4">
        <w:rPr>
          <w:rFonts w:ascii="Times New Roman" w:eastAsia="仿宋_GB2312" w:hAnsi="仿宋_GB2312" w:cs="仿宋_GB2312" w:hint="eastAsia"/>
          <w:color w:val="000000"/>
          <w:spacing w:val="-6"/>
          <w:sz w:val="32"/>
          <w:szCs w:val="32"/>
          <w:shd w:val="clear" w:color="auto" w:fill="FFFFFF"/>
        </w:rPr>
        <w:t>者行政机关认为不公开会对公共利益造成重大影响的，予以公开。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行政机关内部事务信息，包括人事管理、后勤管理、内部工作流程等方面的信息，可以不予公开。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行政机关履行管理职责过程中形成的讨论记录、过程稿、请示报告等过程性信息和行政执法案卷信息，可以不予公开。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政府信息中含有党务信息的，适用《中国共产党党务公开条例》规定，不纳入政府信息公开。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．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其他规定不予公开的情形。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以上第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项属于绝对不予公开事项，第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项属于相对不予公开事项。各地各部门不能确定政府信息是否可以公开的，应当依照法律、法规和国家有关规定报有关主管部门或保密行政管理部门确定。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黑体" w:hAnsi="Times New Roman"/>
          <w:color w:val="000000"/>
          <w:sz w:val="32"/>
          <w:szCs w:val="32"/>
        </w:rPr>
      </w:pPr>
      <w:r w:rsidRPr="002746E4">
        <w:rPr>
          <w:rFonts w:ascii="Times New Roman" w:eastAsia="黑体" w:hAnsi="黑体" w:cs="黑体" w:hint="eastAsia"/>
          <w:color w:val="000000"/>
          <w:sz w:val="32"/>
          <w:szCs w:val="32"/>
        </w:rPr>
        <w:t>四、进一步落实政府信息公开审查责任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各乡镇各部门要按照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谁主管谁负责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”“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谁发布谁负责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的原则，切实加强对政府网站、政务新媒体信息发布监管，将信息发布审核工作落实到具体责任人。主要负责人是政府信息公开审查的第一责任人、分管负责人是具体责任人、办公室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经办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负责人是直接责任人，分管负责人要切实担负起指导、管理、监督政府信息公开审查工作的重要责任。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（一）初审。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由办公室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经办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负责人承担，负责把好政府信息的语言文字关，进行全面细致的检查，避免出现错敏词、病句、文字表述不规范等低级错误。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（二）审核。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由单位分管负责人承担，在全面了解信息内容的基础上，从更高角度对内容的中心主题、质量和表现形式等，进行原则性审核。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2746E4">
        <w:rPr>
          <w:rFonts w:ascii="Times New Roman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（三）终审。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由单位主要负责人承担，从全局的角度进行最后审核把关，并确定是否作为政府信息上网发布。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pacing w:val="-6"/>
          <w:sz w:val="32"/>
          <w:szCs w:val="32"/>
          <w:shd w:val="clear" w:color="auto" w:fill="FFFFFF"/>
        </w:r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县政府办公室、县数据资源管理局将对各乡镇各部门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政府信息公开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746E4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三审</w:t>
      </w:r>
      <w:r w:rsidRPr="002746E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进行监督检查，并将检查结果作为政务公开、政府网站和政务新媒体考核的重要依据，对违反信息发布审核工作等</w:t>
      </w:r>
      <w:r w:rsidRPr="002746E4">
        <w:rPr>
          <w:rFonts w:ascii="Times New Roman" w:eastAsia="仿宋_GB2312" w:hAnsi="仿宋_GB2312" w:cs="仿宋_GB2312" w:hint="eastAsia"/>
          <w:color w:val="000000"/>
          <w:spacing w:val="-6"/>
          <w:sz w:val="32"/>
          <w:szCs w:val="32"/>
          <w:shd w:val="clear" w:color="auto" w:fill="FFFFFF"/>
        </w:rPr>
        <w:t>有关规定的，取消评选评优资格，并将依法依规追究相关人员责任。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753F93" w:rsidRDefault="00226D45" w:rsidP="00753F93">
      <w:pPr>
        <w:topLinePunct/>
        <w:adjustRightInd w:val="0"/>
        <w:snapToGrid w:val="0"/>
        <w:spacing w:line="58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Pr="00753F9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753F9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附件：</w:t>
      </w:r>
      <w:r w:rsidRPr="00753F9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 w:rsidRPr="00753F9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政府信息公开保密审查表（适合审查拟公开本单位</w:t>
      </w:r>
    </w:p>
    <w:p w:rsidR="00226D45" w:rsidRPr="00753F93" w:rsidRDefault="00226D45" w:rsidP="00D5495A">
      <w:pPr>
        <w:topLinePunct/>
        <w:adjustRightInd w:val="0"/>
        <w:snapToGrid w:val="0"/>
        <w:spacing w:line="580" w:lineRule="exact"/>
        <w:ind w:firstLineChars="6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 w:rsidRPr="00753F9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制发的公文类信息）</w:t>
      </w:r>
    </w:p>
    <w:p w:rsidR="00226D45" w:rsidRPr="00753F93" w:rsidRDefault="00226D45" w:rsidP="00753F93">
      <w:pPr>
        <w:topLinePunct/>
        <w:adjustRightInd w:val="0"/>
        <w:snapToGrid w:val="0"/>
        <w:spacing w:line="58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753F9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2. </w:t>
      </w:r>
      <w:r w:rsidRPr="00753F9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政府信息公开保密审查表（适合审查拟公开非公文</w:t>
      </w:r>
    </w:p>
    <w:p w:rsidR="00226D45" w:rsidRPr="00753F93" w:rsidRDefault="00226D45" w:rsidP="00D5495A">
      <w:pPr>
        <w:topLinePunct/>
        <w:adjustRightInd w:val="0"/>
        <w:snapToGrid w:val="0"/>
        <w:spacing w:line="580" w:lineRule="exact"/>
        <w:ind w:firstLineChars="5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 w:rsidRPr="00753F93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类、转载信息）</w:t>
      </w:r>
    </w:p>
    <w:p w:rsidR="00226D45" w:rsidRPr="00753F93" w:rsidRDefault="00226D45" w:rsidP="00753F93">
      <w:pPr>
        <w:topLinePunct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226D45" w:rsidRPr="00753F93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16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祁门县人民政府办公室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18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</w:rPr>
        <w:t>2022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2746E4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21</w:t>
      </w: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</w:t>
      </w: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Pr="002746E4" w:rsidRDefault="00226D45" w:rsidP="00753F93">
      <w:pPr>
        <w:topLinePunct/>
        <w:adjustRightInd w:val="0"/>
        <w:snapToGrid w:val="0"/>
        <w:spacing w:line="58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  <w:sectPr w:rsidR="00226D45" w:rsidRPr="002746E4" w:rsidSect="002746E4">
          <w:footerReference w:type="default" r:id="rId6"/>
          <w:pgSz w:w="11906" w:h="16838" w:code="9"/>
          <w:pgMar w:top="1531" w:right="1418" w:bottom="1644" w:left="1588" w:header="851" w:footer="992" w:gutter="0"/>
          <w:cols w:space="425"/>
          <w:docGrid w:type="lines" w:linePitch="312"/>
        </w:sectPr>
      </w:pPr>
      <w:r w:rsidRPr="002746E4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（此件公开发布）</w:t>
      </w: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2746E4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2746E4">
        <w:rPr>
          <w:rFonts w:ascii="黑体" w:eastAsia="黑体" w:hAnsi="黑体" w:cs="黑体"/>
          <w:color w:val="000000"/>
          <w:sz w:val="32"/>
          <w:szCs w:val="32"/>
        </w:rPr>
        <w:t>1</w:t>
      </w:r>
      <w:r w:rsidRPr="002746E4">
        <w:rPr>
          <w:rFonts w:ascii="黑体" w:eastAsia="黑体" w:hAnsi="黑体" w:cs="黑体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26D45" w:rsidRDefault="00226D45" w:rsidP="002746E4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2746E4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政府信息公开保密审查表</w:t>
      </w:r>
    </w:p>
    <w:p w:rsidR="00226D45" w:rsidRPr="002746E4" w:rsidRDefault="00226D45" w:rsidP="003B3AE4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（适合审查拟公开本单位制发的公文类信息）</w:t>
      </w:r>
    </w:p>
    <w:tbl>
      <w:tblPr>
        <w:tblW w:w="9057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0A0"/>
      </w:tblPr>
      <w:tblGrid>
        <w:gridCol w:w="1868"/>
        <w:gridCol w:w="808"/>
        <w:gridCol w:w="642"/>
        <w:gridCol w:w="717"/>
        <w:gridCol w:w="840"/>
        <w:gridCol w:w="671"/>
        <w:gridCol w:w="572"/>
        <w:gridCol w:w="665"/>
        <w:gridCol w:w="535"/>
        <w:gridCol w:w="625"/>
        <w:gridCol w:w="1114"/>
      </w:tblGrid>
      <w:tr w:rsidR="00226D45" w:rsidRPr="002746E4" w:rsidTr="002746E4">
        <w:trPr>
          <w:trHeight w:val="904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送审股室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联系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方式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226D45" w:rsidRPr="002746E4" w:rsidTr="002746E4">
        <w:trPr>
          <w:trHeight w:val="103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信息标题、文号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226D45" w:rsidRPr="002746E4" w:rsidTr="002746E4">
        <w:trPr>
          <w:trHeight w:val="904"/>
          <w:jc w:val="center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审查记录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涉密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密级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依据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不能公</w:t>
            </w:r>
          </w:p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开发布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226D45" w:rsidRPr="002746E4" w:rsidTr="002746E4">
        <w:trPr>
          <w:trHeight w:val="782"/>
          <w:jc w:val="center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不涉密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此件公开发布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此件依申请公开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226D45" w:rsidRPr="002746E4" w:rsidTr="002746E4">
        <w:trPr>
          <w:trHeight w:val="87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发布形式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Times New Roman" w:cs="仿宋_GB2312" w:hint="eastAsia"/>
                <w:color w:val="000000"/>
              </w:rPr>
              <w:t>□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政府网站</w:t>
            </w:r>
            <w:r w:rsidRPr="002746E4">
              <w:rPr>
                <w:rFonts w:ascii="仿宋_GB2312" w:eastAsia="仿宋_GB2312" w:hAnsi="Times New Roman" w:cs="仿宋_GB2312" w:hint="eastAsia"/>
                <w:color w:val="000000"/>
              </w:rPr>
              <w:t>□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微信</w:t>
            </w:r>
            <w:r w:rsidRPr="002746E4">
              <w:rPr>
                <w:rFonts w:ascii="仿宋_GB2312" w:eastAsia="仿宋_GB2312" w:hAnsi="Times New Roman" w:cs="仿宋_GB2312" w:hint="eastAsia"/>
                <w:color w:val="000000"/>
              </w:rPr>
              <w:t>□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微博</w:t>
            </w:r>
            <w:r w:rsidRPr="002746E4">
              <w:rPr>
                <w:rFonts w:ascii="仿宋_GB2312" w:eastAsia="仿宋_GB2312" w:hAnsi="Times New Roman" w:cs="仿宋_GB2312" w:hint="eastAsia"/>
                <w:color w:val="000000"/>
              </w:rPr>
              <w:t>□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其他</w:t>
            </w:r>
          </w:p>
        </w:tc>
      </w:tr>
      <w:tr w:rsidR="00226D45" w:rsidRPr="002746E4" w:rsidTr="002746E4">
        <w:trPr>
          <w:trHeight w:val="695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拟发布栏目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226D45" w:rsidRPr="002746E4" w:rsidTr="002746E4">
        <w:trPr>
          <w:trHeight w:val="62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拟发布时间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226D45" w:rsidRPr="002746E4" w:rsidTr="002746E4">
        <w:trPr>
          <w:trHeight w:val="134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初审意见</w:t>
            </w:r>
          </w:p>
          <w:p w:rsidR="00226D45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（办公室或经办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负责人）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签名：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               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月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日</w:t>
            </w:r>
          </w:p>
        </w:tc>
      </w:tr>
      <w:tr w:rsidR="00226D45" w:rsidRPr="002746E4" w:rsidTr="002746E4">
        <w:trPr>
          <w:trHeight w:val="1421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审核意见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pacing w:val="-6"/>
              </w:rPr>
              <w:t>（单位分管负责人）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签名：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              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月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日</w:t>
            </w:r>
          </w:p>
        </w:tc>
      </w:tr>
      <w:tr w:rsidR="00226D45" w:rsidRPr="002746E4" w:rsidTr="002746E4">
        <w:trPr>
          <w:trHeight w:val="1676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终审意见</w:t>
            </w:r>
          </w:p>
          <w:p w:rsidR="00226D45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（单位主要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负责人）</w:t>
            </w:r>
          </w:p>
        </w:tc>
        <w:tc>
          <w:tcPr>
            <w:tcW w:w="7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签名：</w:t>
            </w:r>
          </w:p>
          <w:p w:rsidR="00226D45" w:rsidRPr="002746E4" w:rsidRDefault="00226D45" w:rsidP="002746E4">
            <w:pPr>
              <w:pStyle w:val="NormalWeb"/>
              <w:topLinePunct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            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月</w:t>
            </w:r>
            <w:r w:rsidRPr="002746E4">
              <w:rPr>
                <w:rFonts w:ascii="仿宋_GB2312" w:eastAsia="仿宋_GB2312" w:hAnsi="Times New Roman" w:cs="仿宋_GB2312"/>
                <w:color w:val="000000"/>
              </w:rPr>
              <w:t xml:space="preserve">    </w:t>
            </w:r>
            <w:r w:rsidRPr="002746E4">
              <w:rPr>
                <w:rFonts w:ascii="仿宋_GB2312" w:eastAsia="仿宋_GB2312" w:hAnsi="仿宋_GB2312" w:cs="仿宋_GB2312" w:hint="eastAsia"/>
                <w:color w:val="000000"/>
              </w:rPr>
              <w:t>日</w:t>
            </w:r>
          </w:p>
        </w:tc>
      </w:tr>
      <w:tr w:rsidR="00226D45" w:rsidRPr="002746E4" w:rsidTr="002746E4">
        <w:trPr>
          <w:trHeight w:val="938"/>
          <w:jc w:val="center"/>
        </w:trPr>
        <w:tc>
          <w:tcPr>
            <w:tcW w:w="9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D45" w:rsidRPr="002746E4" w:rsidRDefault="00226D45" w:rsidP="002746E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746E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如不能确定公开发布信息是否涉密及其属于哪一级密级的，请及时与县保密局联系。</w:t>
            </w:r>
          </w:p>
        </w:tc>
      </w:tr>
    </w:tbl>
    <w:p w:rsidR="00226D45" w:rsidRPr="002746E4" w:rsidRDefault="00226D45" w:rsidP="00226D45">
      <w:pPr>
        <w:topLinePunct/>
        <w:adjustRightInd w:val="0"/>
        <w:snapToGrid w:val="0"/>
        <w:spacing w:line="56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  <w:sectPr w:rsidR="00226D45" w:rsidRPr="002746E4">
          <w:pgSz w:w="11906" w:h="16838"/>
          <w:pgMar w:top="1157" w:right="1463" w:bottom="1157" w:left="1463" w:header="851" w:footer="992" w:gutter="0"/>
          <w:cols w:space="425"/>
          <w:docGrid w:type="lines" w:linePitch="312"/>
        </w:sectPr>
      </w:pP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2746E4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2746E4">
        <w:rPr>
          <w:rFonts w:ascii="黑体" w:eastAsia="黑体" w:hAnsi="黑体" w:cs="黑体"/>
          <w:color w:val="000000"/>
          <w:sz w:val="32"/>
          <w:szCs w:val="32"/>
        </w:rPr>
        <w:t>2</w:t>
      </w:r>
      <w:r w:rsidRPr="002746E4"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2746E4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政府信息公开保密审查表</w:t>
      </w:r>
    </w:p>
    <w:p w:rsidR="00226D45" w:rsidRPr="002746E4" w:rsidRDefault="00226D45" w:rsidP="002746E4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2746E4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（适合审查拟公开非公文类、转载信息）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1311"/>
        <w:gridCol w:w="3780"/>
        <w:gridCol w:w="2520"/>
        <w:gridCol w:w="2702"/>
        <w:gridCol w:w="1755"/>
        <w:gridCol w:w="1610"/>
      </w:tblGrid>
      <w:tr w:rsidR="00226D45" w:rsidRPr="003B3AE4" w:rsidTr="003B3AE4">
        <w:trPr>
          <w:trHeight w:val="724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送审股室</w:t>
            </w: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信息名称</w:t>
            </w: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信息来源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发布形式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单位分管负责人意见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B3AE4"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单位主要负责人意见</w:t>
            </w:r>
          </w:p>
        </w:tc>
      </w:tr>
      <w:tr w:rsidR="00226D45" w:rsidRPr="003B3AE4" w:rsidTr="003B3AE4">
        <w:trPr>
          <w:trHeight w:val="1081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本单位制发□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转载（注明信息来源：）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网站、政务新媒体□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依申请提供□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其他□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</w:tr>
      <w:tr w:rsidR="00226D45" w:rsidRPr="003B3AE4" w:rsidTr="003B3AE4">
        <w:trPr>
          <w:trHeight w:val="1081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本单位制发□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转载（注明信息来源：）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网站、政务新媒体□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依申请提供□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其他□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</w:tr>
      <w:tr w:rsidR="00226D45" w:rsidRPr="003B3AE4" w:rsidTr="003B3AE4">
        <w:trPr>
          <w:trHeight w:val="1081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本单位制发□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转载（注明信息来源：）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网站、政务新媒体□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依申请提供□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其他□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</w:tr>
      <w:tr w:rsidR="00226D45" w:rsidRPr="003B3AE4" w:rsidTr="003B3AE4">
        <w:trPr>
          <w:trHeight w:val="1081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本单位制发□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转载（注明信息来源：）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网站、政务新媒体□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依申请提供□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其他□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</w:tr>
      <w:tr w:rsidR="00226D45" w:rsidRPr="003B3AE4" w:rsidTr="003B3AE4">
        <w:trPr>
          <w:trHeight w:val="1081"/>
          <w:jc w:val="center"/>
        </w:trPr>
        <w:tc>
          <w:tcPr>
            <w:tcW w:w="777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本单位制发□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转载（注明信息来源：）</w:t>
            </w:r>
          </w:p>
        </w:tc>
        <w:tc>
          <w:tcPr>
            <w:tcW w:w="2702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网站、政务新媒体□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依申请提供□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其他□</w:t>
            </w:r>
          </w:p>
        </w:tc>
        <w:tc>
          <w:tcPr>
            <w:tcW w:w="1755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  <w:tc>
          <w:tcPr>
            <w:tcW w:w="1610" w:type="dxa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同意□</w:t>
            </w:r>
          </w:p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不同意□</w:t>
            </w:r>
          </w:p>
        </w:tc>
      </w:tr>
      <w:tr w:rsidR="00226D45" w:rsidRPr="003B3AE4" w:rsidTr="003B3AE4">
        <w:trPr>
          <w:trHeight w:val="540"/>
          <w:jc w:val="center"/>
        </w:trPr>
        <w:tc>
          <w:tcPr>
            <w:tcW w:w="11090" w:type="dxa"/>
            <w:gridSpan w:val="5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办公室（经办）负责人</w:t>
            </w:r>
          </w:p>
        </w:tc>
        <w:tc>
          <w:tcPr>
            <w:tcW w:w="3365" w:type="dxa"/>
            <w:gridSpan w:val="2"/>
            <w:vAlign w:val="center"/>
          </w:tcPr>
          <w:p w:rsidR="00226D45" w:rsidRPr="003B3AE4" w:rsidRDefault="00226D45" w:rsidP="002746E4">
            <w:pPr>
              <w:topLinePunct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3B3AE4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签名：</w:t>
            </w:r>
          </w:p>
        </w:tc>
      </w:tr>
    </w:tbl>
    <w:p w:rsidR="00226D45" w:rsidRPr="003B3AE4" w:rsidRDefault="00226D45" w:rsidP="00226D45">
      <w:pPr>
        <w:topLinePunct/>
        <w:adjustRightInd w:val="0"/>
        <w:snapToGrid w:val="0"/>
        <w:spacing w:line="480" w:lineRule="exact"/>
        <w:ind w:firstLineChars="200" w:firstLine="31680"/>
        <w:rPr>
          <w:rFonts w:ascii="Times New Roman" w:eastAsia="仿宋_GB2312" w:hAnsi="Times New Roman"/>
          <w:color w:val="000000"/>
          <w:sz w:val="28"/>
          <w:szCs w:val="28"/>
        </w:rPr>
      </w:pPr>
      <w:r w:rsidRPr="003B3AE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注：</w:t>
      </w:r>
      <w:r w:rsidRPr="003B3AE4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．</w:t>
      </w:r>
      <w:r w:rsidRPr="003B3AE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由本单位送审股室具体经办人员负责组织填写和保管。</w:t>
      </w:r>
    </w:p>
    <w:p w:rsidR="00226D45" w:rsidRDefault="00226D45" w:rsidP="003B3AE4">
      <w:pPr>
        <w:topLinePunct/>
        <w:adjustRightInd w:val="0"/>
        <w:snapToGrid w:val="0"/>
        <w:spacing w:line="480" w:lineRule="exact"/>
        <w:ind w:firstLineChars="400" w:firstLine="31680"/>
        <w:rPr>
          <w:rFonts w:ascii="Times New Roman" w:eastAsia="仿宋_GB2312" w:hAnsi="Times New Roman"/>
          <w:color w:val="000000"/>
          <w:sz w:val="28"/>
          <w:szCs w:val="28"/>
        </w:rPr>
      </w:pPr>
      <w:r w:rsidRPr="003B3AE4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．</w:t>
      </w:r>
      <w:r w:rsidRPr="003B3AE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本单位网站、政务新媒体信息发布前均应当认真填写本表。</w:t>
      </w:r>
    </w:p>
    <w:p w:rsidR="00226D45" w:rsidRDefault="00226D45" w:rsidP="00753F93">
      <w:pPr>
        <w:topLinePunct/>
        <w:adjustRightInd w:val="0"/>
        <w:snapToGrid w:val="0"/>
        <w:spacing w:line="480" w:lineRule="exact"/>
        <w:rPr>
          <w:rFonts w:ascii="Times New Roman" w:eastAsia="仿宋_GB2312" w:hAnsi="Times New Roman"/>
          <w:color w:val="000000"/>
          <w:sz w:val="28"/>
          <w:szCs w:val="28"/>
        </w:rPr>
        <w:sectPr w:rsidR="00226D45" w:rsidSect="00CB0EA4">
          <w:pgSz w:w="16838" w:h="11906" w:orient="landscape"/>
          <w:pgMar w:top="1179" w:right="1270" w:bottom="1179" w:left="1270" w:header="851" w:footer="992" w:gutter="0"/>
          <w:cols w:space="425"/>
          <w:docGrid w:type="lines" w:linePitch="312"/>
        </w:sect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adjustRightInd w:val="0"/>
        <w:snapToGrid w:val="0"/>
        <w:spacing w:line="324" w:lineRule="auto"/>
        <w:rPr>
          <w:rFonts w:ascii="仿宋_GB2312" w:eastAsia="仿宋_GB2312"/>
          <w:sz w:val="32"/>
          <w:szCs w:val="32"/>
        </w:rPr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Pr="006E7269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Default="00226D45" w:rsidP="00753F93">
      <w:pPr>
        <w:spacing w:line="40" w:lineRule="exact"/>
      </w:pPr>
    </w:p>
    <w:p w:rsidR="00226D45" w:rsidRPr="00753F93" w:rsidRDefault="00226D45" w:rsidP="00753F93">
      <w:pPr>
        <w:spacing w:line="540" w:lineRule="exact"/>
        <w:ind w:firstLineChars="50" w:firstLine="3168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8752" from="-2.4pt,5.3pt" to="447.75pt,5.3pt" strokeweight="1pt"/>
        </w:pict>
      </w:r>
      <w:r w:rsidRPr="00753F93">
        <w:rPr>
          <w:rFonts w:ascii="Times New Roman" w:eastAsia="仿宋_GB2312" w:cs="仿宋_GB2312" w:hint="eastAsia"/>
          <w:sz w:val="28"/>
          <w:szCs w:val="28"/>
        </w:rPr>
        <w:t>抄送：</w:t>
      </w:r>
      <w:r w:rsidRPr="00753F93">
        <w:rPr>
          <w:rFonts w:ascii="Times New Roman" w:eastAsia="仿宋_GB2312" w:cs="仿宋_GB2312" w:hint="eastAsia"/>
          <w:color w:val="000000"/>
          <w:sz w:val="28"/>
          <w:szCs w:val="28"/>
        </w:rPr>
        <w:t>县委各部门，县人大常委会办公室，县政协办公室，县监委，</w:t>
      </w:r>
    </w:p>
    <w:p w:rsidR="00226D45" w:rsidRPr="00753F93" w:rsidRDefault="00226D45" w:rsidP="00753F93">
      <w:pPr>
        <w:spacing w:line="540" w:lineRule="exact"/>
        <w:ind w:firstLineChars="350" w:firstLine="31680"/>
        <w:rPr>
          <w:rFonts w:ascii="Times New Roman" w:eastAsia="仿宋_GB2312" w:hAnsi="Times New Roman"/>
          <w:sz w:val="28"/>
          <w:szCs w:val="28"/>
        </w:rPr>
      </w:pPr>
      <w:r w:rsidRPr="00753F93">
        <w:rPr>
          <w:rFonts w:ascii="Times New Roman" w:eastAsia="仿宋_GB2312" w:cs="仿宋_GB2312" w:hint="eastAsia"/>
          <w:color w:val="000000"/>
          <w:sz w:val="28"/>
          <w:szCs w:val="28"/>
        </w:rPr>
        <w:t>县法院，县检察院，县人武部，驻祁各单位，各群众团体。</w:t>
      </w:r>
    </w:p>
    <w:p w:rsidR="00226D45" w:rsidRPr="00753F93" w:rsidRDefault="00226D45" w:rsidP="00753F93">
      <w:pPr>
        <w:spacing w:line="100" w:lineRule="exact"/>
        <w:rPr>
          <w:rFonts w:ascii="Times New Roman" w:eastAsia="仿宋_GB2312" w:hAnsi="Times New Roman"/>
        </w:rPr>
      </w:pPr>
    </w:p>
    <w:p w:rsidR="00226D45" w:rsidRPr="00753F93" w:rsidRDefault="00226D45" w:rsidP="00753F93">
      <w:pPr>
        <w:spacing w:line="500" w:lineRule="exact"/>
        <w:ind w:firstLineChars="100" w:firstLine="31680"/>
        <w:rPr>
          <w:rFonts w:ascii="Times New Roman" w:hAnsi="Times New Roman" w:cs="Times New Roman"/>
        </w:rPr>
      </w:pPr>
      <w:r>
        <w:rPr>
          <w:noProof/>
        </w:rPr>
        <w:pict>
          <v:line id="_x0000_s1027" style="position:absolute;left:0;text-align:left;z-index:251657728" from="-2.25pt,28pt" to="447.75pt,28pt" strokeweight="1pt"/>
        </w:pict>
      </w:r>
      <w:r>
        <w:rPr>
          <w:noProof/>
        </w:rPr>
        <w:pict>
          <v:line id="_x0000_s1028" style="position:absolute;left:0;text-align:left;z-index:251656704" from="-1.5pt,2.95pt" to="447.75pt,2.95pt"/>
        </w:pict>
      </w:r>
      <w:r w:rsidRPr="00753F93">
        <w:rPr>
          <w:rFonts w:ascii="Times New Roman" w:eastAsia="仿宋_GB2312" w:cs="仿宋_GB2312" w:hint="eastAsia"/>
          <w:sz w:val="28"/>
          <w:szCs w:val="28"/>
        </w:rPr>
        <w:t>祁门县人民政府办公室</w:t>
      </w:r>
      <w:r w:rsidRPr="00753F93">
        <w:rPr>
          <w:rFonts w:ascii="Times New Roman" w:eastAsia="仿宋_GB2312" w:hAnsi="Times New Roman" w:cs="Times New Roman"/>
          <w:sz w:val="28"/>
          <w:szCs w:val="28"/>
        </w:rPr>
        <w:t xml:space="preserve">                     2022</w:t>
      </w:r>
      <w:r w:rsidRPr="00753F93">
        <w:rPr>
          <w:rFonts w:ascii="Times New Roman" w:eastAsia="仿宋_GB2312" w:cs="仿宋_GB2312" w:hint="eastAsia"/>
          <w:sz w:val="28"/>
          <w:szCs w:val="28"/>
        </w:rPr>
        <w:t>年</w:t>
      </w:r>
      <w:r w:rsidRPr="00753F93">
        <w:rPr>
          <w:rFonts w:ascii="Times New Roman" w:eastAsia="仿宋_GB2312" w:hAnsi="Times New Roman" w:cs="Times New Roman"/>
          <w:sz w:val="28"/>
          <w:szCs w:val="28"/>
        </w:rPr>
        <w:t xml:space="preserve"> 9</w:t>
      </w:r>
      <w:r w:rsidRPr="00753F93">
        <w:rPr>
          <w:rFonts w:ascii="Times New Roman" w:eastAsia="仿宋_GB2312" w:cs="仿宋_GB2312" w:hint="eastAsia"/>
          <w:sz w:val="28"/>
          <w:szCs w:val="28"/>
        </w:rPr>
        <w:t>月</w:t>
      </w:r>
      <w:r w:rsidRPr="00753F93">
        <w:rPr>
          <w:rFonts w:ascii="Times New Roman" w:eastAsia="仿宋_GB2312" w:hAnsi="Times New Roman" w:cs="Times New Roman"/>
          <w:sz w:val="28"/>
          <w:szCs w:val="28"/>
        </w:rPr>
        <w:t>21</w:t>
      </w:r>
      <w:r w:rsidRPr="00753F93">
        <w:rPr>
          <w:rFonts w:ascii="Times New Roman" w:eastAsia="仿宋_GB2312" w:cs="仿宋_GB2312" w:hint="eastAsia"/>
          <w:sz w:val="28"/>
          <w:szCs w:val="28"/>
        </w:rPr>
        <w:t>日印发</w:t>
      </w:r>
    </w:p>
    <w:sectPr w:rsidR="00226D45" w:rsidRPr="00753F93" w:rsidSect="00753F93">
      <w:pgSz w:w="11906" w:h="16838" w:code="9"/>
      <w:pgMar w:top="1531" w:right="1418" w:bottom="1644" w:left="1588" w:header="851" w:footer="992" w:gutter="0"/>
      <w:cols w:space="425"/>
      <w:docGrid w:type="linesAndChars" w:linePitch="4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45" w:rsidRDefault="00226D45" w:rsidP="00CB0EA4">
      <w:r>
        <w:separator/>
      </w:r>
    </w:p>
  </w:endnote>
  <w:endnote w:type="continuationSeparator" w:id="1">
    <w:p w:rsidR="00226D45" w:rsidRDefault="00226D45" w:rsidP="00CB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5" w:rsidRPr="00753F93" w:rsidRDefault="00226D45" w:rsidP="00753F93">
    <w:pPr>
      <w:pStyle w:val="Footer"/>
      <w:framePr w:wrap="auto" w:vAnchor="text" w:hAnchor="margin" w:xAlign="outside" w:y="1"/>
      <w:ind w:rightChars="200" w:right="31680" w:firstLineChars="200" w:firstLine="31680"/>
      <w:rPr>
        <w:rStyle w:val="PageNumber"/>
        <w:rFonts w:ascii="Times New Roman" w:hAnsi="Times New Roman" w:cs="Times New Roman"/>
        <w:sz w:val="28"/>
        <w:szCs w:val="28"/>
      </w:rPr>
    </w:pPr>
    <w:r w:rsidRPr="00753F93"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753F93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753F93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753F93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6</w:t>
    </w:r>
    <w:r w:rsidRPr="00753F93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 w:rsidRPr="00753F93">
      <w:rPr>
        <w:rStyle w:val="PageNumber"/>
        <w:rFonts w:ascii="Times New Roman" w:hAnsi="Times New Roman" w:cs="Times New Roman"/>
        <w:sz w:val="28"/>
        <w:szCs w:val="28"/>
      </w:rPr>
      <w:t xml:space="preserve"> —</w:t>
    </w:r>
  </w:p>
  <w:p w:rsidR="00226D45" w:rsidRDefault="00226D45" w:rsidP="00753F9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45" w:rsidRDefault="00226D45" w:rsidP="00CB0EA4">
      <w:r>
        <w:separator/>
      </w:r>
    </w:p>
  </w:footnote>
  <w:footnote w:type="continuationSeparator" w:id="1">
    <w:p w:rsidR="00226D45" w:rsidRDefault="00226D45" w:rsidP="00CB0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22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A5C"/>
    <w:rsid w:val="8F3FB4CE"/>
    <w:rsid w:val="AD7F05C4"/>
    <w:rsid w:val="BDBF6888"/>
    <w:rsid w:val="BF5FE9F9"/>
    <w:rsid w:val="BFBF7D81"/>
    <w:rsid w:val="CF5F415D"/>
    <w:rsid w:val="DFEE7FE4"/>
    <w:rsid w:val="F6BA26BB"/>
    <w:rsid w:val="F6CFE166"/>
    <w:rsid w:val="FBFF2B4E"/>
    <w:rsid w:val="FC8F9BC7"/>
    <w:rsid w:val="000F0E60"/>
    <w:rsid w:val="00226D45"/>
    <w:rsid w:val="002746E4"/>
    <w:rsid w:val="00341362"/>
    <w:rsid w:val="003B3AE4"/>
    <w:rsid w:val="004E1F2D"/>
    <w:rsid w:val="0056591C"/>
    <w:rsid w:val="00615A58"/>
    <w:rsid w:val="006416FE"/>
    <w:rsid w:val="006E7269"/>
    <w:rsid w:val="00753F93"/>
    <w:rsid w:val="00A20F94"/>
    <w:rsid w:val="00CB0EA4"/>
    <w:rsid w:val="00D5495A"/>
    <w:rsid w:val="00E80A5C"/>
    <w:rsid w:val="00F62DF3"/>
    <w:rsid w:val="39032A0E"/>
    <w:rsid w:val="3FF86575"/>
    <w:rsid w:val="57FD791C"/>
    <w:rsid w:val="5ADF665C"/>
    <w:rsid w:val="5F6DCF58"/>
    <w:rsid w:val="6BDF7459"/>
    <w:rsid w:val="7AEFA8F8"/>
    <w:rsid w:val="7F25109F"/>
    <w:rsid w:val="7F7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A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link w:val="Style4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0EA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B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0EA4"/>
    <w:rPr>
      <w:sz w:val="18"/>
      <w:szCs w:val="18"/>
    </w:rPr>
  </w:style>
  <w:style w:type="paragraph" w:styleId="NormalWeb">
    <w:name w:val="Normal (Web)"/>
    <w:basedOn w:val="Normal"/>
    <w:uiPriority w:val="99"/>
    <w:rsid w:val="00CB0EA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CB0EA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B0EA4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CB0EA4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CB0EA4"/>
    <w:rPr>
      <w:color w:val="0000FF"/>
      <w:u w:val="single"/>
    </w:rPr>
  </w:style>
  <w:style w:type="paragraph" w:customStyle="1" w:styleId="Style4">
    <w:name w:val="_Style 4"/>
    <w:basedOn w:val="Normal"/>
    <w:link w:val="DefaultParagraphFont"/>
    <w:uiPriority w:val="99"/>
    <w:rsid w:val="00753F93"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753F93"/>
  </w:style>
  <w:style w:type="character" w:customStyle="1" w:styleId="Char">
    <w:name w:val="页脚 Char"/>
    <w:uiPriority w:val="99"/>
    <w:semiHidden/>
    <w:rsid w:val="00753F93"/>
    <w:rPr>
      <w:rFonts w:eastAsia="宋体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468</Words>
  <Characters>2670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祁政办秘〔2022〕42号</dc:title>
  <dc:subject/>
  <dc:creator>Lenovo</dc:creator>
  <cp:keywords/>
  <dc:description/>
  <cp:lastModifiedBy>瘦骏马</cp:lastModifiedBy>
  <cp:revision>5</cp:revision>
  <cp:lastPrinted>2022-09-21T07:45:00Z</cp:lastPrinted>
  <dcterms:created xsi:type="dcterms:W3CDTF">2022-09-21T07:43:00Z</dcterms:created>
  <dcterms:modified xsi:type="dcterms:W3CDTF">2022-09-21T07:45:00Z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