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B3FF2">
      <w:pPr>
        <w:rPr>
          <w:rFonts w:ascii="仿宋" w:hAnsi="仿宋" w:eastAsia="仿宋" w:cs="仿宋"/>
          <w:sz w:val="28"/>
          <w:szCs w:val="28"/>
        </w:rPr>
      </w:pPr>
    </w:p>
    <w:p w14:paraId="5479F6F5">
      <w:pPr>
        <w:ind w:firstLine="2880" w:firstLineChars="900"/>
        <w:jc w:val="left"/>
        <w:rPr>
          <w:rStyle w:val="9"/>
          <w:rFonts w:ascii="仿宋_GB2312" w:eastAsia="仿宋_GB2312" w:hAnsiTheme="majorEastAsia" w:cstheme="majorEastAsia"/>
          <w:b w:val="0"/>
          <w:color w:val="000000"/>
          <w:sz w:val="32"/>
          <w:szCs w:val="32"/>
        </w:rPr>
      </w:pPr>
    </w:p>
    <w:p w14:paraId="6F72949D">
      <w:pPr>
        <w:ind w:firstLine="2880" w:firstLineChars="900"/>
        <w:jc w:val="left"/>
        <w:rPr>
          <w:rStyle w:val="9"/>
          <w:rFonts w:ascii="仿宋_GB2312" w:eastAsia="仿宋_GB2312" w:hAnsiTheme="majorEastAsia" w:cstheme="majorEastAsia"/>
          <w:b w:val="0"/>
          <w:color w:val="000000"/>
          <w:sz w:val="32"/>
          <w:szCs w:val="32"/>
        </w:rPr>
      </w:pPr>
    </w:p>
    <w:p w14:paraId="3C4E60EF">
      <w:pPr>
        <w:ind w:firstLine="2880" w:firstLineChars="900"/>
        <w:jc w:val="left"/>
        <w:rPr>
          <w:rStyle w:val="9"/>
          <w:rFonts w:ascii="仿宋_GB2312" w:eastAsia="仿宋_GB2312" w:hAnsiTheme="majorEastAsia" w:cstheme="majorEastAsia"/>
          <w:b w:val="0"/>
          <w:color w:val="000000"/>
          <w:sz w:val="32"/>
          <w:szCs w:val="32"/>
        </w:rPr>
      </w:pPr>
    </w:p>
    <w:p w14:paraId="7161465A">
      <w:pPr>
        <w:ind w:firstLine="2880" w:firstLineChars="900"/>
        <w:jc w:val="left"/>
        <w:rPr>
          <w:rStyle w:val="9"/>
          <w:rFonts w:ascii="仿宋_GB2312" w:eastAsia="仿宋_GB2312" w:hAnsiTheme="majorEastAsia" w:cstheme="majorEastAsia"/>
          <w:b w:val="0"/>
          <w:color w:val="000000"/>
          <w:sz w:val="32"/>
          <w:szCs w:val="32"/>
        </w:rPr>
      </w:pPr>
    </w:p>
    <w:p w14:paraId="52AA63F6">
      <w:pPr>
        <w:ind w:firstLine="2880" w:firstLineChars="900"/>
        <w:jc w:val="left"/>
        <w:rPr>
          <w:rStyle w:val="9"/>
          <w:rFonts w:ascii="仿宋_GB2312" w:eastAsia="仿宋_GB2312" w:hAnsiTheme="majorEastAsia" w:cstheme="majorEastAsia"/>
          <w:b w:val="0"/>
          <w:color w:val="000000"/>
          <w:sz w:val="32"/>
          <w:szCs w:val="32"/>
        </w:rPr>
      </w:pPr>
    </w:p>
    <w:p w14:paraId="62381CA1">
      <w:pPr>
        <w:ind w:firstLine="2880" w:firstLineChars="900"/>
        <w:jc w:val="left"/>
        <w:rPr>
          <w:rStyle w:val="9"/>
          <w:rFonts w:ascii="仿宋_GB2312" w:eastAsia="仿宋_GB2312" w:hAnsiTheme="majorEastAsia" w:cstheme="majorEastAsia"/>
          <w:b w:val="0"/>
          <w:color w:val="000000"/>
          <w:sz w:val="32"/>
          <w:szCs w:val="32"/>
        </w:rPr>
      </w:pPr>
    </w:p>
    <w:p w14:paraId="63187CB0">
      <w:pPr>
        <w:ind w:firstLine="2880" w:firstLineChars="900"/>
        <w:jc w:val="left"/>
        <w:rPr>
          <w:rFonts w:ascii="仿宋" w:hAnsi="仿宋" w:eastAsia="仿宋" w:cs="仿宋"/>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2503805</wp:posOffset>
                </wp:positionH>
                <wp:positionV relativeFrom="paragraph">
                  <wp:posOffset>243205</wp:posOffset>
                </wp:positionV>
                <wp:extent cx="247650" cy="228600"/>
                <wp:effectExtent l="0" t="0" r="0" b="0"/>
                <wp:wrapNone/>
                <wp:docPr id="1" name="自选图形 3"/>
                <wp:cNvGraphicFramePr/>
                <a:graphic xmlns:a="http://schemas.openxmlformats.org/drawingml/2006/main">
                  <a:graphicData uri="http://schemas.microsoft.com/office/word/2010/wordprocessingShape">
                    <wps:wsp>
                      <wps:cNvSpPr/>
                      <wps:spPr>
                        <a:xfrm>
                          <a:off x="0" y="0"/>
                          <a:ext cx="247650" cy="228600"/>
                        </a:xfrm>
                        <a:custGeom>
                          <a:avLst/>
                          <a:gdLst>
                            <a:gd name="A1" fmla="val 0"/>
                          </a:gdLst>
                          <a:ahLst/>
                          <a:cxnLst/>
                          <a:pathLst/>
                        </a:custGeom>
                        <a:noFill/>
                        <a:ln>
                          <a:noFill/>
                        </a:ln>
                      </wps:spPr>
                      <wps:bodyPr upright="1"/>
                    </wps:wsp>
                  </a:graphicData>
                </a:graphic>
              </wp:anchor>
            </w:drawing>
          </mc:Choice>
          <mc:Fallback>
            <w:pict>
              <v:shape id="自选图形 3" o:spid="_x0000_s1026" o:spt="100" style="position:absolute;left:0pt;margin-left:197.15pt;margin-top:19.15pt;height:18pt;width:19.5pt;z-index:251659264;mso-width-relative:page;mso-height-relative:page;" filled="f" stroked="f" coordsize="247650,228600" o:gfxdata="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jf/7PWAAAACQEAAA8AAAAAAAAAAQAgAAAAIgAAAGRycy9kb3ducmV2LnhtbFBL&#10;AQIUABQAAAAIAIdO4kAa5kfXvwEAAIEDAAAOAAAAAAAAAAEAIAAAACUBAABkcnMvZTJvRG9jLnht&#10;bFBLBQYAAAAABgAGAFkBAABWBQAAAAA=&#10;">
                <v:fill on="f" focussize="0,0"/>
                <v:stroke on="f"/>
                <v:imagedata o:title=""/>
                <o:lock v:ext="edit" aspectratio="f"/>
              </v:shape>
            </w:pict>
          </mc:Fallback>
        </mc:AlternateContent>
      </w:r>
      <w:r>
        <w:rPr>
          <w:rStyle w:val="9"/>
          <w:rFonts w:hint="eastAsia" w:ascii="仿宋_GB2312" w:eastAsia="仿宋_GB2312" w:hAnsiTheme="majorEastAsia" w:cstheme="majorEastAsia"/>
          <w:b w:val="0"/>
          <w:color w:val="000000"/>
          <w:sz w:val="32"/>
          <w:szCs w:val="32"/>
        </w:rPr>
        <w:t>祁残联〔2022〕12号</w:t>
      </w:r>
    </w:p>
    <w:p w14:paraId="425A7EA0">
      <w:pPr>
        <w:pStyle w:val="2"/>
        <w:jc w:val="center"/>
        <w:rPr>
          <w:rFonts w:ascii="原版宋体" w:hAnsi="原版宋体" w:eastAsia="原版宋体" w:cs="原版宋体"/>
          <w:sz w:val="40"/>
          <w:szCs w:val="22"/>
        </w:rPr>
      </w:pPr>
      <w:r>
        <w:rPr>
          <w:rFonts w:hint="eastAsia" w:ascii="原版宋体" w:hAnsi="原版宋体" w:eastAsia="原版宋体" w:cs="原版宋体"/>
          <w:sz w:val="40"/>
          <w:szCs w:val="22"/>
        </w:rPr>
        <w:t>关于印发《县残联2022年工作要点》的通知</w:t>
      </w:r>
    </w:p>
    <w:p w14:paraId="4A0DDA2A">
      <w:pPr>
        <w:rPr>
          <w:rFonts w:ascii="仿宋" w:hAnsi="仿宋" w:eastAsia="仿宋" w:cs="仿宋"/>
          <w:sz w:val="28"/>
          <w:szCs w:val="28"/>
        </w:rPr>
      </w:pPr>
      <w:r>
        <w:rPr>
          <w:rFonts w:hint="eastAsia" w:ascii="仿宋" w:hAnsi="仿宋" w:eastAsia="仿宋" w:cs="仿宋"/>
          <w:sz w:val="28"/>
          <w:szCs w:val="28"/>
        </w:rPr>
        <w:t>各乡镇残联：</w:t>
      </w:r>
    </w:p>
    <w:p w14:paraId="5C0F0727">
      <w:pPr>
        <w:ind w:firstLine="560" w:firstLineChars="200"/>
        <w:rPr>
          <w:rFonts w:ascii="仿宋" w:hAnsi="仿宋" w:eastAsia="仿宋" w:cs="仿宋"/>
          <w:sz w:val="28"/>
          <w:szCs w:val="28"/>
        </w:rPr>
      </w:pPr>
      <w:r>
        <w:rPr>
          <w:rFonts w:hint="eastAsia" w:ascii="仿宋" w:hAnsi="仿宋" w:eastAsia="仿宋" w:cs="仿宋"/>
          <w:sz w:val="28"/>
          <w:szCs w:val="28"/>
        </w:rPr>
        <w:t>现将《县残联2022年工作要点》印发给你们，请认真贯彻落实。</w:t>
      </w:r>
    </w:p>
    <w:p w14:paraId="771F5E0C"/>
    <w:p w14:paraId="3BEF0E03"/>
    <w:p w14:paraId="35517E89"/>
    <w:p w14:paraId="7B9A139F">
      <w:pPr>
        <w:tabs>
          <w:tab w:val="left" w:pos="5728"/>
        </w:tabs>
        <w:ind w:firstLine="5600" w:firstLineChars="2000"/>
        <w:jc w:val="left"/>
        <w:rPr>
          <w:rFonts w:ascii="仿宋" w:hAnsi="仿宋" w:eastAsia="仿宋" w:cs="仿宋"/>
          <w:sz w:val="28"/>
          <w:szCs w:val="28"/>
        </w:rPr>
      </w:pPr>
      <w:r>
        <w:rPr>
          <w:rFonts w:hint="eastAsia" w:ascii="仿宋" w:hAnsi="仿宋" w:eastAsia="仿宋" w:cs="仿宋"/>
          <w:sz w:val="28"/>
          <w:szCs w:val="28"/>
        </w:rPr>
        <w:t>祁门县残疾人联合会</w:t>
      </w:r>
    </w:p>
    <w:p w14:paraId="7B0945B4">
      <w:pPr>
        <w:tabs>
          <w:tab w:val="left" w:pos="5728"/>
        </w:tabs>
        <w:ind w:firstLine="5880" w:firstLineChars="2100"/>
        <w:jc w:val="left"/>
        <w:rPr>
          <w:rFonts w:ascii="仿宋" w:hAnsi="仿宋" w:eastAsia="仿宋" w:cs="仿宋"/>
          <w:sz w:val="28"/>
          <w:szCs w:val="28"/>
        </w:rPr>
      </w:pPr>
      <w:r>
        <w:rPr>
          <w:rFonts w:hint="eastAsia" w:ascii="仿宋" w:hAnsi="仿宋" w:eastAsia="仿宋" w:cs="仿宋"/>
          <w:sz w:val="28"/>
          <w:szCs w:val="28"/>
        </w:rPr>
        <w:t>2022年3月17日</w:t>
      </w:r>
    </w:p>
    <w:p w14:paraId="73D1AEB2"/>
    <w:p w14:paraId="691D71CB">
      <w:pPr>
        <w:tabs>
          <w:tab w:val="left" w:pos="6928"/>
        </w:tabs>
        <w:jc w:val="left"/>
      </w:pPr>
      <w:r>
        <w:rPr>
          <w:rFonts w:hint="eastAsia"/>
        </w:rPr>
        <w:tab/>
      </w:r>
    </w:p>
    <w:p w14:paraId="364A1484">
      <w:pPr>
        <w:tabs>
          <w:tab w:val="left" w:pos="6928"/>
        </w:tabs>
        <w:jc w:val="left"/>
      </w:pPr>
    </w:p>
    <w:p w14:paraId="3B3C3BDE">
      <w:pPr>
        <w:tabs>
          <w:tab w:val="left" w:pos="6928"/>
        </w:tabs>
        <w:jc w:val="left"/>
      </w:pPr>
    </w:p>
    <w:p w14:paraId="34A98F5F">
      <w:pPr>
        <w:tabs>
          <w:tab w:val="left" w:pos="6928"/>
        </w:tabs>
        <w:jc w:val="left"/>
      </w:pPr>
    </w:p>
    <w:p w14:paraId="738BA4DD">
      <w:pPr>
        <w:tabs>
          <w:tab w:val="left" w:pos="6928"/>
        </w:tabs>
        <w:jc w:val="left"/>
      </w:pPr>
    </w:p>
    <w:p w14:paraId="762C7A3A">
      <w:pPr>
        <w:tabs>
          <w:tab w:val="left" w:pos="6928"/>
        </w:tabs>
        <w:jc w:val="left"/>
      </w:pPr>
    </w:p>
    <w:p w14:paraId="384F6420">
      <w:pPr>
        <w:tabs>
          <w:tab w:val="left" w:pos="6928"/>
        </w:tabs>
        <w:jc w:val="left"/>
      </w:pPr>
    </w:p>
    <w:p w14:paraId="4032C7C1">
      <w:pPr>
        <w:tabs>
          <w:tab w:val="left" w:pos="6928"/>
        </w:tabs>
        <w:jc w:val="left"/>
      </w:pPr>
    </w:p>
    <w:p w14:paraId="6B00E87C">
      <w:pPr>
        <w:tabs>
          <w:tab w:val="left" w:pos="6928"/>
        </w:tabs>
        <w:jc w:val="left"/>
      </w:pPr>
    </w:p>
    <w:p w14:paraId="72F18BEF">
      <w:pPr>
        <w:tabs>
          <w:tab w:val="left" w:pos="6928"/>
        </w:tabs>
        <w:jc w:val="left"/>
      </w:pPr>
    </w:p>
    <w:p w14:paraId="44810C1C">
      <w:pPr>
        <w:tabs>
          <w:tab w:val="left" w:pos="6928"/>
        </w:tabs>
        <w:jc w:val="left"/>
      </w:pPr>
    </w:p>
    <w:p w14:paraId="52B9A6B0">
      <w:pPr>
        <w:tabs>
          <w:tab w:val="left" w:pos="6928"/>
        </w:tabs>
        <w:jc w:val="left"/>
      </w:pPr>
    </w:p>
    <w:p w14:paraId="7BEA7D7B">
      <w:pPr>
        <w:tabs>
          <w:tab w:val="left" w:pos="6928"/>
        </w:tabs>
        <w:jc w:val="left"/>
      </w:pPr>
    </w:p>
    <w:p w14:paraId="6BDED718">
      <w:pPr>
        <w:tabs>
          <w:tab w:val="left" w:pos="6928"/>
        </w:tabs>
        <w:jc w:val="center"/>
        <w:rPr>
          <w:rFonts w:ascii="黑体" w:hAnsi="黑体" w:eastAsia="黑体"/>
          <w:sz w:val="44"/>
          <w:szCs w:val="44"/>
        </w:rPr>
      </w:pPr>
      <w:r>
        <w:rPr>
          <w:rFonts w:hint="eastAsia" w:ascii="黑体" w:hAnsi="黑体" w:eastAsia="黑体" w:cs="原版宋体"/>
          <w:sz w:val="44"/>
          <w:szCs w:val="44"/>
        </w:rPr>
        <w:t>祁门县残联 2022年工作要点</w:t>
      </w:r>
    </w:p>
    <w:p w14:paraId="363B4EF6">
      <w:pPr>
        <w:tabs>
          <w:tab w:val="left" w:pos="6928"/>
        </w:tabs>
        <w:ind w:firstLine="560" w:firstLineChars="200"/>
        <w:jc w:val="left"/>
        <w:rPr>
          <w:rFonts w:ascii="仿宋" w:hAnsi="仿宋" w:eastAsia="仿宋" w:cs="仿宋"/>
          <w:sz w:val="28"/>
          <w:szCs w:val="28"/>
        </w:rPr>
      </w:pPr>
      <w:r>
        <w:rPr>
          <w:rFonts w:hint="eastAsia" w:ascii="仿宋" w:hAnsi="仿宋" w:eastAsia="仿宋" w:cs="仿宋"/>
          <w:sz w:val="28"/>
          <w:szCs w:val="28"/>
        </w:rPr>
        <w:t>2022 年是党的二十大召开之年，是实施“十四五”残疾人保障和发展规划的关键之年，做好全县残联工作，总体要求是：坚持以习近平新时代中国特色社会主义思想为指导，全面贯彻落实党的十九大和十九届历次全会精神，贯彻落实中央及省市县的决策部署，弘扬伟大建党精神，坚持稳中求进工作总基调，完整、准确、全面贯彻新发展理念，落实好上级残联部署安排，为加快建设“世界红茶之都 美丽康养祁门”贡献残联力量。</w:t>
      </w:r>
    </w:p>
    <w:p w14:paraId="3D018EFB">
      <w:pPr>
        <w:tabs>
          <w:tab w:val="left" w:pos="6928"/>
        </w:tabs>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一、强化党建引领，巩固提升 “同心筑梦”行动</w:t>
      </w:r>
    </w:p>
    <w:p w14:paraId="66E983E7">
      <w:pPr>
        <w:tabs>
          <w:tab w:val="left" w:pos="692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(一）深入学习</w:t>
      </w:r>
      <w:r>
        <w:rPr>
          <w:rFonts w:hint="eastAsia" w:ascii="仿宋" w:hAnsi="仿宋" w:eastAsia="仿宋" w:cs="仿宋"/>
          <w:b/>
          <w:bCs/>
          <w:sz w:val="28"/>
          <w:szCs w:val="28"/>
          <w:lang w:eastAsia="zh-CN"/>
        </w:rPr>
        <w:t>贯</w:t>
      </w:r>
      <w:bookmarkStart w:id="0" w:name="_GoBack"/>
      <w:bookmarkEnd w:id="0"/>
      <w:r>
        <w:rPr>
          <w:rFonts w:hint="eastAsia" w:ascii="仿宋" w:hAnsi="仿宋" w:eastAsia="仿宋" w:cs="仿宋"/>
          <w:b/>
          <w:bCs/>
          <w:sz w:val="28"/>
          <w:szCs w:val="28"/>
        </w:rPr>
        <w:t>彻习近平新时代中国特色社会主义思想</w:t>
      </w:r>
      <w:r>
        <w:rPr>
          <w:rFonts w:hint="eastAsia" w:ascii="仿宋" w:hAnsi="仿宋" w:eastAsia="仿宋" w:cs="仿宋"/>
          <w:sz w:val="28"/>
          <w:szCs w:val="28"/>
        </w:rPr>
        <w:t>。坚持把学习贯彻习近平新时代中国特色社会主义思想作为首要政治任务，全面落实习近平总书记对安徽作出的系列重要讲话指示批示和关于残疾人事业的重要指示批示精神，做到学思用贯通、知信行统一，忠心维护“两个确立”，忠诚践行 “两个维护”。认真落实意识形态工作责任制，把握正确方向，强化舆论引导，把牢残疾人工作领域意识形态工作主动权。巩固拓展党史学习教育成果,推动学习贯彻党的十九届六中全会精神在残联系统落地见效。紧紧</w:t>
      </w:r>
      <w:r>
        <w:rPr>
          <w:rFonts w:hint="eastAsia" w:ascii="仿宋" w:hAnsi="仿宋" w:eastAsia="仿宋" w:cs="仿宋"/>
          <w:sz w:val="28"/>
          <w:szCs w:val="28"/>
          <w:lang w:eastAsia="zh-CN"/>
        </w:rPr>
        <w:t>围</w:t>
      </w:r>
      <w:r>
        <w:rPr>
          <w:rFonts w:hint="eastAsia" w:ascii="仿宋" w:hAnsi="仿宋" w:eastAsia="仿宋" w:cs="仿宋"/>
          <w:sz w:val="28"/>
          <w:szCs w:val="28"/>
        </w:rPr>
        <w:t>绕迎接、宣传、贯彻党的二十大这条主线，深入推进“学听跟〞活动，开展丰富多样的宣传教育活动，团结引领广大残疾人听党话、感党恩、跟</w:t>
      </w:r>
      <w:r>
        <w:rPr>
          <w:rFonts w:hint="eastAsia" w:ascii="仿宋" w:hAnsi="仿宋" w:eastAsia="仿宋" w:cs="仿宋"/>
          <w:sz w:val="28"/>
          <w:szCs w:val="28"/>
          <w:lang w:val="en-US" w:eastAsia="zh-CN"/>
        </w:rPr>
        <w:t>党</w:t>
      </w:r>
      <w:r>
        <w:rPr>
          <w:rFonts w:hint="eastAsia" w:ascii="仿宋" w:hAnsi="仿宋" w:eastAsia="仿宋" w:cs="仿宋"/>
          <w:sz w:val="28"/>
          <w:szCs w:val="28"/>
        </w:rPr>
        <w:t>走，画出最大同心圆，共筑中国复兴梦。</w:t>
      </w:r>
    </w:p>
    <w:p w14:paraId="5C6DC290">
      <w:pPr>
        <w:tabs>
          <w:tab w:val="left" w:pos="692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（二)严格落实全面从严治</w:t>
      </w:r>
      <w:r>
        <w:rPr>
          <w:rFonts w:hint="eastAsia" w:ascii="仿宋" w:hAnsi="仿宋" w:eastAsia="仿宋" w:cs="仿宋"/>
          <w:b/>
          <w:bCs/>
          <w:sz w:val="28"/>
          <w:szCs w:val="28"/>
          <w:lang w:val="en-US" w:eastAsia="zh-CN"/>
        </w:rPr>
        <w:t>党</w:t>
      </w:r>
      <w:r>
        <w:rPr>
          <w:rFonts w:hint="eastAsia" w:ascii="仿宋" w:hAnsi="仿宋" w:eastAsia="仿宋" w:cs="仿宋"/>
          <w:b/>
          <w:bCs/>
          <w:sz w:val="28"/>
          <w:szCs w:val="28"/>
        </w:rPr>
        <w:t>主体责任。</w:t>
      </w:r>
      <w:r>
        <w:rPr>
          <w:rFonts w:hint="eastAsia" w:ascii="仿宋" w:hAnsi="仿宋" w:eastAsia="仿宋" w:cs="仿宋"/>
          <w:sz w:val="28"/>
          <w:szCs w:val="28"/>
        </w:rPr>
        <w:t>认真履行全面从严治党主体责任和监督责任，深入开展党风廉政建设和反腐败斗争，严格落实“一岗双责”，认真做好十五届县委第一轮巡察整改工作。强化政治机关建设，强化对标对表，不断提高政治判断力、政治领悟力、政治执行力。深入开展纪律教育、警示教育，引导</w:t>
      </w:r>
      <w:r>
        <w:rPr>
          <w:rFonts w:hint="eastAsia" w:ascii="仿宋" w:hAnsi="仿宋" w:eastAsia="仿宋" w:cs="仿宋"/>
          <w:sz w:val="28"/>
          <w:szCs w:val="28"/>
          <w:lang w:eastAsia="zh-CN"/>
        </w:rPr>
        <w:t>党员干部</w:t>
      </w:r>
      <w:r>
        <w:rPr>
          <w:rFonts w:hint="eastAsia" w:ascii="仿宋" w:hAnsi="仿宋" w:eastAsia="仿宋" w:cs="仿宋"/>
          <w:sz w:val="28"/>
          <w:szCs w:val="28"/>
        </w:rPr>
        <w:t xml:space="preserve">知敬畏、存戒惧、守底线，涵养清正廉洁价值理念，推进党建与业务融合发展，大力营造全县残联系统风清气正、干事创业的良好政治生态。                                                                                                                                                                                                                                                                                                                                                                        </w:t>
      </w:r>
    </w:p>
    <w:p w14:paraId="745B0E66">
      <w:pPr>
        <w:tabs>
          <w:tab w:val="left" w:pos="6928"/>
        </w:tabs>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二、强化残疾人就业创业，巩固提升 “脱贫奔康”行动</w:t>
      </w:r>
    </w:p>
    <w:p w14:paraId="5931B770">
      <w:pPr>
        <w:tabs>
          <w:tab w:val="left" w:pos="692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(一）进一步巩固拓展残疾人脱贫攻坚成果同乡村振兴有效</w:t>
      </w:r>
      <w:r>
        <w:rPr>
          <w:rFonts w:hint="eastAsia" w:ascii="仿宋" w:hAnsi="仿宋" w:eastAsia="仿宋" w:cs="仿宋"/>
          <w:b/>
          <w:bCs/>
          <w:sz w:val="28"/>
          <w:szCs w:val="28"/>
          <w:lang w:eastAsia="zh-CN"/>
        </w:rPr>
        <w:t>衔</w:t>
      </w:r>
      <w:r>
        <w:rPr>
          <w:rFonts w:hint="eastAsia" w:ascii="仿宋" w:hAnsi="仿宋" w:eastAsia="仿宋" w:cs="仿宋"/>
          <w:b/>
          <w:bCs/>
          <w:sz w:val="28"/>
          <w:szCs w:val="28"/>
        </w:rPr>
        <w:t>接。</w:t>
      </w:r>
      <w:r>
        <w:rPr>
          <w:rFonts w:hint="eastAsia" w:ascii="仿宋" w:hAnsi="仿宋" w:eastAsia="仿宋" w:cs="仿宋"/>
          <w:sz w:val="28"/>
          <w:szCs w:val="28"/>
        </w:rPr>
        <w:t>做好易致贫返贫和突发困难残疾人的精准监测和及时帮扶，守住不发生规模性返贫的底线。推动各地落实乡村振兴扶持政策，加大在残疾儿童康复救助、残疾人基本康复和托养照护服务、困难重度残疾人家庭无障碍改造等方面的支持力度。开展农村困难残疾人实用技术培训项目，助力农村残疾人增收。做好定点帮扶工作。</w:t>
      </w:r>
    </w:p>
    <w:p w14:paraId="0829D25F">
      <w:pPr>
        <w:tabs>
          <w:tab w:val="left" w:pos="692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（二）稳步提升残疾人社会保障水平。</w:t>
      </w:r>
      <w:r>
        <w:rPr>
          <w:rFonts w:hint="eastAsia" w:ascii="仿宋" w:hAnsi="仿宋" w:eastAsia="仿宋" w:cs="仿宋"/>
          <w:sz w:val="28"/>
          <w:szCs w:val="28"/>
        </w:rPr>
        <w:t>贯彻落实民政部、财政部、中国残联《关于进一步完善困难残疾人生活补贴和重度残疾人护理补贴制度的意见》和相关要求，运用好全国残疾人“两项补贴”信息管理系统，配合民政部门做好 “两项补贴”工作。继续实施“阳光家园计划”项目，鼓励有条件的地区探索制定残疾人托养服务支持政策和补贴办法。</w:t>
      </w:r>
    </w:p>
    <w:p w14:paraId="7F83798A">
      <w:pPr>
        <w:tabs>
          <w:tab w:val="left" w:pos="6928"/>
        </w:tabs>
        <w:ind w:firstLine="562" w:firstLineChars="200"/>
        <w:jc w:val="left"/>
        <w:rPr>
          <w:rFonts w:ascii="仿宋" w:hAnsi="仿宋" w:eastAsia="仿宋" w:cs="仿宋"/>
          <w:sz w:val="28"/>
          <w:szCs w:val="28"/>
        </w:rPr>
      </w:pPr>
      <w:r>
        <w:rPr>
          <w:rFonts w:hint="eastAsia" w:ascii="仿宋" w:hAnsi="仿宋" w:eastAsia="仿宋" w:cs="仿宋"/>
          <w:b/>
          <w:bCs/>
          <w:sz w:val="28"/>
          <w:szCs w:val="28"/>
        </w:rPr>
        <w:t xml:space="preserve"> (三）多措并举促进残疾人就业创业。</w:t>
      </w:r>
      <w:r>
        <w:rPr>
          <w:rFonts w:hint="eastAsia" w:ascii="仿宋" w:hAnsi="仿宋" w:eastAsia="仿宋" w:cs="仿宋"/>
          <w:sz w:val="28"/>
          <w:szCs w:val="28"/>
        </w:rPr>
        <w:t>贯彻落实《关于印发〈机</w:t>
      </w:r>
    </w:p>
    <w:p w14:paraId="73D41FCB">
      <w:pPr>
        <w:tabs>
          <w:tab w:val="left" w:pos="6928"/>
        </w:tabs>
        <w:jc w:val="left"/>
        <w:rPr>
          <w:rFonts w:ascii="仿宋" w:hAnsi="仿宋" w:eastAsia="仿宋" w:cs="仿宋"/>
          <w:sz w:val="28"/>
          <w:szCs w:val="28"/>
        </w:rPr>
      </w:pPr>
      <w:r>
        <w:rPr>
          <w:rFonts w:hint="eastAsia" w:ascii="仿宋" w:hAnsi="仿宋" w:eastAsia="仿宋" w:cs="仿宋"/>
          <w:sz w:val="28"/>
          <w:szCs w:val="28"/>
        </w:rPr>
        <w:t>关、事业单位、国有企业带头安排残疾人就业办法〉的通知》(残联发〔2021〕 51号），推动党政机关、事业单位、国有企业带头安排残疾人就业。大力促进辅助性就业、灵活就业和基于互联网的新业态就业，促进公益性岗位安置。开展就业援助月、残疾人就业线上招聘、“互联网＋残疾人就业服务”“走宣送”（走进用人单位，宣传就业政策，送上就业服务)活动。全面落实残疾人创业就业项目。加强残疾人职业技能和实用技术培训，多形式开展残疾人创业培训。配合人社部门开展2023届残疾毕业生求职创业补贴信息化发放工作。举办第四届全市残疾人职业技能竞赛，组织参加第十一届全省残疾人职业技能竞赛。做好残疾人按比例就业情况联网认证 “跨省通办”及其后续相关工作.</w:t>
      </w:r>
    </w:p>
    <w:p w14:paraId="6BFAE950">
      <w:pPr>
        <w:tabs>
          <w:tab w:val="left" w:pos="6928"/>
        </w:tabs>
        <w:ind w:firstLine="562" w:firstLineChars="200"/>
        <w:jc w:val="left"/>
        <w:rPr>
          <w:rFonts w:ascii="仿宋" w:hAnsi="仿宋" w:eastAsia="仿宋" w:cs="仿宋"/>
          <w:sz w:val="28"/>
          <w:szCs w:val="28"/>
        </w:rPr>
      </w:pPr>
      <w:r>
        <w:rPr>
          <w:rFonts w:hint="eastAsia" w:ascii="仿宋" w:hAnsi="仿宋" w:eastAsia="仿宋" w:cs="仿宋"/>
          <w:b/>
          <w:bCs/>
          <w:sz w:val="28"/>
          <w:szCs w:val="28"/>
        </w:rPr>
        <w:t>（四)扎实做好特殊教育工作。</w:t>
      </w:r>
      <w:r>
        <w:rPr>
          <w:rFonts w:hint="eastAsia" w:ascii="仿宋" w:hAnsi="仿宋" w:eastAsia="仿宋" w:cs="仿宋"/>
          <w:sz w:val="28"/>
          <w:szCs w:val="28"/>
        </w:rPr>
        <w:t>实施“十四五”特殊教育发展提升行动计划，做好控教保学、送教上门和随班就读工作，完善特殊教育保障机制，提高特殊教育质量，促进融合教育发展。配合教育部门做好残疾学生高考招录相关工作。继续实施好义务教育、高中及中职教育、高等教育阶段的残疾学生资助项目。做好国家通用手语和通用盲文推广工作</w:t>
      </w:r>
    </w:p>
    <w:p w14:paraId="373802BC">
      <w:pPr>
        <w:tabs>
          <w:tab w:val="left" w:pos="6928"/>
        </w:tabs>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三、强化残疾人康复质效，巩固提升 “精准康复"行动</w:t>
      </w:r>
    </w:p>
    <w:p w14:paraId="5B0DCF78">
      <w:pPr>
        <w:tabs>
          <w:tab w:val="left" w:pos="6928"/>
        </w:tabs>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(一)持续提升康复服务质量。</w:t>
      </w:r>
      <w:r>
        <w:rPr>
          <w:rFonts w:hint="eastAsia" w:ascii="仿宋" w:hAnsi="仿宋" w:eastAsia="仿宋" w:cs="仿宋"/>
          <w:sz w:val="28"/>
          <w:szCs w:val="28"/>
        </w:rPr>
        <w:t>贯彻落实国家、省残疾预防行动计划 (2021-2025年），制定我县实施计划。围绕实现残疾人基本康复服务规划目标，深入实施残疾人精准康复服务行动，全县有康复需求的残疾儿童和持证残疾人接受基本康复服务的比例达95%以上。加大康复专业人才培养，加强基层康复服务能力建设。建立完善辅具补贴制度，强化辅具服务机构能力建设。推进残疾人家庭医生签约服务重点联系点和“康复之家”建设，推动加强残疾人健康管理。组织开展残疾预防日、爱耳日等宣传教育活动。</w:t>
      </w:r>
    </w:p>
    <w:p w14:paraId="39DB9F29">
      <w:pPr>
        <w:spacing w:line="600" w:lineRule="exact"/>
        <w:jc w:val="left"/>
        <w:rPr>
          <w:rFonts w:ascii="方正大标宋简体" w:hAnsi="仿宋" w:eastAsia="方正大标宋简体" w:cs="Times New Roman"/>
          <w:b/>
          <w:sz w:val="44"/>
          <w:szCs w:val="44"/>
        </w:rPr>
      </w:pPr>
      <w:r>
        <w:rPr>
          <w:rFonts w:hint="eastAsia" w:ascii="仿宋" w:hAnsi="仿宋" w:eastAsia="仿宋" w:cs="仿宋"/>
          <w:b/>
          <w:bCs/>
          <w:sz w:val="28"/>
          <w:szCs w:val="28"/>
        </w:rPr>
        <w:t>（二）精准实施困难残疾人康复项目。</w:t>
      </w:r>
      <w:r>
        <w:rPr>
          <w:rFonts w:hint="eastAsia" w:ascii="仿宋" w:hAnsi="仿宋" w:eastAsia="仿宋" w:cs="仿宋"/>
          <w:sz w:val="28"/>
          <w:szCs w:val="28"/>
        </w:rPr>
        <w:t>落实残疾儿童康复救助制度，组织实施好困难残疾人康复民生工程项目，联合县卫健委制定《关于做好2022年残疾人精准康复工作的通知》，2022年继续为全县233 名困难精神残疾人提供药费补助，为21名符合条件的视力、听力、言语、肢体、智力等残疾儿童和孤独症儿童提供康复训练救助，为 4 名残疾儿童适配假肢矫形器或其他辅具提供救助。贯彻落实 《黄山市残疾儿童康复救助定点机构康复服务协议管理实施细则（试行）》，加强协议管理和规范化建设，提升残疾儿童康复服务质量。</w:t>
      </w:r>
    </w:p>
    <w:p w14:paraId="049E8BFD">
      <w:pPr>
        <w:tabs>
          <w:tab w:val="left" w:pos="6928"/>
        </w:tabs>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四、强化残疾人权益保障，巩固提升“权益护航”行动</w:t>
      </w:r>
    </w:p>
    <w:p w14:paraId="1A985E63">
      <w:pPr>
        <w:tabs>
          <w:tab w:val="left" w:pos="692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(一)提升残疾人权益保障水平。</w:t>
      </w:r>
      <w:r>
        <w:rPr>
          <w:rFonts w:hint="eastAsia" w:ascii="仿宋" w:hAnsi="仿宋" w:eastAsia="仿宋" w:cs="仿宋"/>
          <w:sz w:val="28"/>
          <w:szCs w:val="28"/>
        </w:rPr>
        <w:t>深入学习贯彻习近平法治思想，依法发展残疾人事业，依法保障残疾人权益。贯彻宪法、民法典和残疾人保障法，制定实施全县残联系统“八五”法治宣传教育规划，持续推进残疾人学法用法专项行动。加强残疾人法律救助工作规范化建设，开展“法援惠民生、关爱残疾人”法律援助活动，提升残疾人法律救助服务质量。学习宣传贯彻《信访工作条例》，畅通残疾人信访渠道，做好来信来电来访、12345政务服务便民热线转办、政风行风热线上线等工作。深入开展残疾人矛盾纠纷排查，依法维护残疾人合法权益。</w:t>
      </w:r>
    </w:p>
    <w:p w14:paraId="7C3C5B24">
      <w:pPr>
        <w:tabs>
          <w:tab w:val="left" w:pos="692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（二）推进无障碍环境建设。</w:t>
      </w:r>
      <w:r>
        <w:rPr>
          <w:rFonts w:hint="eastAsia" w:ascii="仿宋" w:hAnsi="仿宋" w:eastAsia="仿宋" w:cs="仿宋"/>
          <w:sz w:val="28"/>
          <w:szCs w:val="28"/>
        </w:rPr>
        <w:t>配合有关部门，结合城市居住社区建设补短板行动、城镇老旧小区改造、无障碍环境县村镇创建，农村人居环境整治等，统筹开展城乡无障碍环境建设。推动落实《安徽省无障碍环境建设管理办法》和《安徽省无障碍环境建设导则》。探索成立由人大代表、政协委员、残疾人代表和热心公益人士等参与的无障碍环境建设督导队伍，指导督导队依法开展社会督导工作。加快实施困难重度残疾人家庭无障碍改造，高质量完成年度改造任务，</w:t>
      </w:r>
    </w:p>
    <w:p w14:paraId="79536060">
      <w:pPr>
        <w:tabs>
          <w:tab w:val="left" w:pos="692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(三)做好疫情防控和安全生产工作。</w:t>
      </w:r>
      <w:r>
        <w:rPr>
          <w:rFonts w:hint="eastAsia" w:ascii="仿宋" w:hAnsi="仿宋" w:eastAsia="仿宋" w:cs="仿宋"/>
          <w:sz w:val="28"/>
          <w:szCs w:val="28"/>
        </w:rPr>
        <w:t>坚持把残疾人生命安全和身体健康放在第一位，认真落实疫情防控和安全生产各项要求切实加强康复医疗、托养照护、就业创业、教育培训、文化体育、信访接待等各类残疾人服务机构疫情防控和安全生产工作，严格落实各项防控措施。落实《重大传染病疫情残疾人防护指南（试行)》和《重大传染病疫情残疾人防护社会支持服务指南（试行)》，经常性了解疫情形势发展对残疾人生产生活的影响，及时反映和帮助解决实际困难，采取切实措施加强重大疫情等突发公共事件中对残疾人的保护。健全全县残联系统安全管理长效机制，认真排查各类风险隐患，及时防范化解，助力平安祁门建设。</w:t>
      </w:r>
    </w:p>
    <w:p w14:paraId="6CBDFD15">
      <w:pPr>
        <w:tabs>
          <w:tab w:val="left" w:pos="6928"/>
        </w:tabs>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五、强化残疾人精神文化生活，巩固提升 “共享阳光”行动</w:t>
      </w:r>
    </w:p>
    <w:p w14:paraId="3BF6E68B">
      <w:pPr>
        <w:tabs>
          <w:tab w:val="left" w:pos="6928"/>
        </w:tabs>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弘扬扶残助残文明风尚。贯彻落实《关于全力推进新时代扶残助残文明实践活动的实施意见》,将扶残助残纳入公民道德建设、文明创建工程和新时代文明实践中心建设，弘扬人道主义精神和扶残助残传统美德，营造理解、尊重、关心、帮助残疾人的社会氛围。实施省残疾人福利基金会“集善明门”儿童轮椅捐赠项目。</w:t>
      </w:r>
      <w:r>
        <w:rPr>
          <w:rFonts w:ascii="仿宋" w:hAnsi="仿宋" w:eastAsia="仿宋" w:cs="仿宋"/>
          <w:sz w:val="28"/>
          <w:szCs w:val="28"/>
        </w:rPr>
        <w:t>拓展社会志愿服务建设，积极倡导志愿助残活动，鼓励和引导社会组织参与助残服务。</w:t>
      </w:r>
    </w:p>
    <w:p w14:paraId="6D13AA6D">
      <w:pPr>
        <w:tabs>
          <w:tab w:val="left" w:pos="6928"/>
        </w:tabs>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(二）加强残疾人事业宣传。</w:t>
      </w:r>
      <w:r>
        <w:rPr>
          <w:rFonts w:hint="eastAsia" w:ascii="仿宋" w:hAnsi="仿宋" w:eastAsia="仿宋" w:cs="仿宋"/>
          <w:sz w:val="28"/>
          <w:szCs w:val="28"/>
        </w:rPr>
        <w:t>加强残疾人事业全媒体传播能力建设，结合北京冬残奥会、全国助残日、国际残疾人日、爱耳日、残疾预防日等重大活动和重要节点，宣传残疾人事业取得的成就，传播好残疾人自强声音、展示残疾人自强不息的精神风貌。加强残联政务“一网一微”建设，办好与市、县级主流媒体合作专栏，宣传好党和政府对残疾人事业发展的高度重视和对残疾人群众的关心关爱，解读好党和政府 “十四五”时期保障和发展残疾人事业的各项措施。</w:t>
      </w:r>
    </w:p>
    <w:p w14:paraId="01F46EC9">
      <w:pPr>
        <w:tabs>
          <w:tab w:val="left" w:pos="35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（三）丰富残疾人文化活动。</w:t>
      </w:r>
      <w:r>
        <w:rPr>
          <w:rFonts w:hint="eastAsia" w:ascii="仿宋" w:hAnsi="仿宋" w:eastAsia="仿宋" w:cs="仿宋"/>
          <w:sz w:val="28"/>
          <w:szCs w:val="28"/>
        </w:rPr>
        <w:t>组织开展第32次全国助残日系列活动，组队参加全市残疾人读书达人演讲比赛，持续开展“残疾人文化周”群众文化活动。积极引导具有较好市场发展前景的文化产业创建全国残疾人文化创意产业基地，鼓励残疾人参与文化艺术创作和非物质文化遗产保护传承。</w:t>
      </w:r>
    </w:p>
    <w:p w14:paraId="70E530B2">
      <w:pPr>
        <w:tabs>
          <w:tab w:val="left" w:pos="358"/>
        </w:tabs>
        <w:ind w:firstLine="562" w:firstLineChars="200"/>
        <w:jc w:val="left"/>
        <w:rPr>
          <w:rFonts w:ascii="仿宋" w:hAnsi="仿宋" w:eastAsia="仿宋" w:cs="仿宋"/>
          <w:sz w:val="28"/>
          <w:szCs w:val="28"/>
        </w:rPr>
      </w:pPr>
      <w:r>
        <w:rPr>
          <w:rFonts w:hint="eastAsia" w:ascii="仿宋" w:hAnsi="仿宋" w:eastAsia="仿宋" w:cs="仿宋"/>
          <w:b/>
          <w:bCs/>
          <w:sz w:val="28"/>
          <w:szCs w:val="28"/>
        </w:rPr>
        <w:t>(四）推动残疾人体育发展。</w:t>
      </w:r>
      <w:r>
        <w:rPr>
          <w:rFonts w:hint="eastAsia" w:ascii="仿宋" w:hAnsi="仿宋" w:eastAsia="仿宋" w:cs="仿宋"/>
          <w:sz w:val="28"/>
          <w:szCs w:val="28"/>
        </w:rPr>
        <w:t>组队参加安徽省第八届残疾人运动会和第五届特殊奥林匹克运动会，力争取得佳绩。配合做好全国第十二届残运会暨第九届特奥会备战参赛工作，广泛宣传北京冬残奥会、杭州亚残运会。继续推进残疾人康复体育进家庭、残疾人康复健身示范点和残疾人康复健身体育指导员等工作。举办残疾人健身周、全国特奥日等残疾人康复健身体育示范活动。</w:t>
      </w:r>
    </w:p>
    <w:p w14:paraId="0C5CC03E">
      <w:pPr>
        <w:tabs>
          <w:tab w:val="left" w:pos="358"/>
        </w:tabs>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六、强化残联自身建设，巩固提升 “强基固本”行动</w:t>
      </w:r>
    </w:p>
    <w:p w14:paraId="1EC2E50E">
      <w:pPr>
        <w:tabs>
          <w:tab w:val="left" w:pos="35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(一）持续深化残联改革。</w:t>
      </w:r>
      <w:r>
        <w:rPr>
          <w:rFonts w:hint="eastAsia" w:ascii="仿宋" w:hAnsi="仿宋" w:eastAsia="仿宋" w:cs="仿宋"/>
          <w:sz w:val="28"/>
          <w:szCs w:val="28"/>
        </w:rPr>
        <w:t>加强部署指导，稳妥有序推进县、乡残联换届，同步开展专门协会换届。以换届为契机，持续深化残联改革，扎实推进基层组织建设和服务创新。加强基层残联领导班子建设，培养选拔优秀残疾人干部，推进县级残联机关干部队伍中有15%以上（含15%）的残疾人。加强各级专门协会的组织建设、能力建设，活跃协会工作。落实新修订的 《村（社区)残协工作规范》和《专职委员工作规范》，提升残协标准化规范化建设水平。组织全县残疾人工作者素质提升培训班，发挥专职委员在线平合作用，加强基层残疾人工作者综合能力培训。</w:t>
      </w:r>
    </w:p>
    <w:p w14:paraId="00ABBECB">
      <w:pPr>
        <w:tabs>
          <w:tab w:val="left" w:pos="35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（二）加强信息化服务。</w:t>
      </w:r>
      <w:r>
        <w:rPr>
          <w:rFonts w:hint="eastAsia" w:ascii="仿宋" w:hAnsi="仿宋" w:eastAsia="仿宋" w:cs="仿宋"/>
          <w:sz w:val="28"/>
          <w:szCs w:val="28"/>
        </w:rPr>
        <w:t>贯彻落实《“十四五”残疾人事业信息化发展实施方案》，推进传统服务方式和智能化服务创新并行，建立线上线下相结合的残疾人服务体系，推动残疾人政务服务“一网通办”。推进残疾人证“跨省通办”和电子证照申领，持续开展违规持证清理核查工作。进一步提高政务公开标准化规范化水平，推进涉残服务“阳光化、透明化、便民化”。</w:t>
      </w:r>
    </w:p>
    <w:p w14:paraId="41F2FFBA">
      <w:pPr>
        <w:tabs>
          <w:tab w:val="left" w:pos="358"/>
        </w:tabs>
        <w:ind w:firstLine="562" w:firstLineChars="200"/>
        <w:jc w:val="left"/>
        <w:rPr>
          <w:rFonts w:ascii="仿宋" w:hAnsi="仿宋" w:eastAsia="仿宋" w:cs="仿宋"/>
          <w:sz w:val="28"/>
          <w:szCs w:val="28"/>
        </w:rPr>
      </w:pPr>
      <w:r>
        <w:rPr>
          <w:rFonts w:hint="eastAsia" w:ascii="仿宋" w:hAnsi="仿宋" w:eastAsia="仿宋" w:cs="仿宋"/>
          <w:b/>
          <w:bCs/>
          <w:sz w:val="28"/>
          <w:szCs w:val="28"/>
        </w:rPr>
        <w:t>(三）倾情打造“五大残联”。</w:t>
      </w:r>
      <w:r>
        <w:rPr>
          <w:rFonts w:hint="eastAsia" w:ascii="仿宋" w:hAnsi="仿宋" w:eastAsia="仿宋" w:cs="仿宋"/>
          <w:sz w:val="28"/>
          <w:szCs w:val="28"/>
        </w:rPr>
        <w:t xml:space="preserve">深入学习习近平总书记关于加强作风建设重要论述，全面落实中央八项规定精神及省市实施细则，认真贯彻“一改两为” 要求，加快实现“三快一降”，扎实开展“能力作风提升年” 活动，力戒形式主义官僚主义。密切与残疾群众联系，持续开展特殊困难残疾人家庭访视慰问。建立健全残疾人之家（工作站）长效运行机制，常态落实 “我为群众办实事”实践活动，切实办好残疾群众牵肠挂肚的民生大事，做好残疾群众天天有感的关键小事，倾情打造纯洁、温馨、活力、智慧、责任的残联。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原版宋体">
    <w:altName w:val="宋体"/>
    <w:panose1 w:val="00000000000000000000"/>
    <w:charset w:val="86"/>
    <w:family w:val="auto"/>
    <w:pitch w:val="default"/>
    <w:sig w:usb0="00000000" w:usb1="00000000" w:usb2="00000000"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N2Y0M2M3YzA4MDczNDMyNzY4OThmYWZlYmM2Y2IifQ=="/>
  </w:docVars>
  <w:rsids>
    <w:rsidRoot w:val="77FE48C9"/>
    <w:rsid w:val="0018444C"/>
    <w:rsid w:val="00236E85"/>
    <w:rsid w:val="002A1D52"/>
    <w:rsid w:val="002F4414"/>
    <w:rsid w:val="00367FF4"/>
    <w:rsid w:val="003E6BD2"/>
    <w:rsid w:val="005A761B"/>
    <w:rsid w:val="006F4704"/>
    <w:rsid w:val="00812B55"/>
    <w:rsid w:val="00C6153D"/>
    <w:rsid w:val="00CD6345"/>
    <w:rsid w:val="00CE0FE8"/>
    <w:rsid w:val="39311A51"/>
    <w:rsid w:val="40A62598"/>
    <w:rsid w:val="4D28229B"/>
    <w:rsid w:val="6E1149F8"/>
    <w:rsid w:val="75C23679"/>
    <w:rsid w:val="779B38B7"/>
    <w:rsid w:val="77FE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9">
    <w:name w:val="Strong"/>
    <w:basedOn w:val="8"/>
    <w:qFormat/>
    <w:uiPriority w:val="0"/>
    <w:rPr>
      <w:b/>
    </w:r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4240</Words>
  <Characters>4296</Characters>
  <Lines>33</Lines>
  <Paragraphs>9</Paragraphs>
  <TotalTime>402</TotalTime>
  <ScaleCrop>false</ScaleCrop>
  <LinksUpToDate>false</LinksUpToDate>
  <CharactersWithSpaces>4681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2022-03-17T10:57:00Z</dcterms:created>
  <dc:creator>hss</dc:creator>
  <cp:lastModifiedBy>汪志平</cp:lastModifiedBy>
  <dcterms:modified xsi:type="dcterms:W3CDTF">2024-10-23T01:50:59Z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A7921190610048EB92863ED64821084A_13</vt:lpwstr>
  </property>
</Properties>
</file>