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CCA" w:rsidRDefault="00CE6976">
      <w:pPr>
        <w:jc w:val="center"/>
      </w:pPr>
      <w:r>
        <w:rPr>
          <w:rFonts w:ascii="方正小标宋简体" w:eastAsia="方正小标宋简体" w:hAnsi="方正小标宋简体" w:cs="方正小标宋简体" w:hint="eastAsia"/>
          <w:sz w:val="32"/>
          <w:szCs w:val="32"/>
        </w:rPr>
        <w:t>祁门</w:t>
      </w:r>
      <w:r w:rsidR="003E0948">
        <w:rPr>
          <w:rFonts w:ascii="方正小标宋简体" w:eastAsia="方正小标宋简体" w:hAnsi="方正小标宋简体" w:cs="方正小标宋简体" w:hint="eastAsia"/>
          <w:sz w:val="32"/>
          <w:szCs w:val="32"/>
        </w:rPr>
        <w:t>县</w:t>
      </w:r>
      <w:r w:rsidR="00FD61B3">
        <w:rPr>
          <w:rFonts w:ascii="方正小标宋简体" w:eastAsia="方正小标宋简体" w:hAnsi="方正小标宋简体" w:cs="方正小标宋简体" w:hint="eastAsia"/>
          <w:sz w:val="32"/>
          <w:szCs w:val="32"/>
        </w:rPr>
        <w:t>退役军人事务局权责清单即时动态调整</w:t>
      </w:r>
      <w:r w:rsidR="003E0948">
        <w:rPr>
          <w:rFonts w:ascii="方正小标宋简体" w:eastAsia="方正小标宋简体" w:hAnsi="方正小标宋简体" w:cs="方正小标宋简体" w:hint="eastAsia"/>
          <w:sz w:val="32"/>
          <w:szCs w:val="32"/>
        </w:rPr>
        <w:t>情况</w:t>
      </w:r>
      <w:r w:rsidR="00FD61B3">
        <w:rPr>
          <w:rFonts w:ascii="方正小标宋简体" w:eastAsia="方正小标宋简体" w:hAnsi="方正小标宋简体" w:cs="方正小标宋简体" w:hint="eastAsia"/>
          <w:sz w:val="32"/>
          <w:szCs w:val="32"/>
        </w:rPr>
        <w:t>表</w:t>
      </w:r>
      <w:bookmarkStart w:id="0" w:name="_GoBack"/>
      <w:bookmarkEnd w:id="0"/>
    </w:p>
    <w:tbl>
      <w:tblPr>
        <w:tblW w:w="14186" w:type="dxa"/>
        <w:jc w:val="center"/>
        <w:tblLook w:val="04A0"/>
      </w:tblPr>
      <w:tblGrid>
        <w:gridCol w:w="564"/>
        <w:gridCol w:w="627"/>
        <w:gridCol w:w="886"/>
        <w:gridCol w:w="419"/>
        <w:gridCol w:w="6581"/>
        <w:gridCol w:w="649"/>
        <w:gridCol w:w="4460"/>
      </w:tblGrid>
      <w:tr w:rsidR="000F3CCA">
        <w:trPr>
          <w:cantSplit/>
          <w:trHeight w:val="692"/>
          <w:tblHeader/>
          <w:jc w:val="center"/>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rsidR="000F3CCA" w:rsidRDefault="00FD61B3">
            <w:pPr>
              <w:widowControl/>
              <w:jc w:val="center"/>
              <w:rPr>
                <w:rFonts w:ascii="黑体" w:eastAsia="黑体" w:hAnsi="黑体" w:cs="黑体"/>
                <w:kern w:val="0"/>
                <w:sz w:val="20"/>
                <w:szCs w:val="20"/>
              </w:rPr>
            </w:pPr>
            <w:r>
              <w:rPr>
                <w:rFonts w:ascii="黑体" w:eastAsia="黑体" w:hAnsi="黑体" w:cs="黑体" w:hint="eastAsia"/>
                <w:kern w:val="0"/>
                <w:sz w:val="20"/>
                <w:szCs w:val="20"/>
              </w:rPr>
              <w:t>序号</w:t>
            </w:r>
          </w:p>
        </w:tc>
        <w:tc>
          <w:tcPr>
            <w:tcW w:w="627"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jc w:val="center"/>
              <w:rPr>
                <w:rFonts w:ascii="黑体" w:eastAsia="黑体" w:hAnsi="黑体" w:cs="黑体"/>
                <w:kern w:val="0"/>
                <w:sz w:val="20"/>
                <w:szCs w:val="20"/>
              </w:rPr>
            </w:pPr>
            <w:r>
              <w:rPr>
                <w:rFonts w:ascii="黑体" w:eastAsia="黑体" w:hAnsi="黑体" w:cs="黑体" w:hint="eastAsia"/>
                <w:kern w:val="0"/>
                <w:sz w:val="20"/>
                <w:szCs w:val="20"/>
              </w:rPr>
              <w:t>权力类型</w:t>
            </w:r>
          </w:p>
        </w:tc>
        <w:tc>
          <w:tcPr>
            <w:tcW w:w="886"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jc w:val="center"/>
              <w:rPr>
                <w:rFonts w:ascii="黑体" w:eastAsia="黑体" w:hAnsi="黑体" w:cs="黑体"/>
                <w:kern w:val="0"/>
                <w:sz w:val="20"/>
                <w:szCs w:val="20"/>
              </w:rPr>
            </w:pPr>
            <w:r>
              <w:rPr>
                <w:rFonts w:ascii="黑体" w:eastAsia="黑体" w:hAnsi="黑体" w:cs="黑体" w:hint="eastAsia"/>
                <w:kern w:val="0"/>
                <w:sz w:val="20"/>
                <w:szCs w:val="20"/>
              </w:rPr>
              <w:t>权力名称</w:t>
            </w:r>
          </w:p>
        </w:tc>
        <w:tc>
          <w:tcPr>
            <w:tcW w:w="419"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jc w:val="center"/>
              <w:rPr>
                <w:rFonts w:ascii="黑体" w:eastAsia="黑体" w:hAnsi="黑体" w:cs="黑体"/>
                <w:kern w:val="0"/>
                <w:sz w:val="20"/>
                <w:szCs w:val="20"/>
              </w:rPr>
            </w:pPr>
            <w:r>
              <w:rPr>
                <w:rFonts w:ascii="黑体" w:eastAsia="黑体" w:hAnsi="黑体" w:cs="黑体" w:hint="eastAsia"/>
                <w:kern w:val="0"/>
                <w:sz w:val="20"/>
                <w:szCs w:val="20"/>
              </w:rPr>
              <w:t>子项</w:t>
            </w:r>
          </w:p>
        </w:tc>
        <w:tc>
          <w:tcPr>
            <w:tcW w:w="6581"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jc w:val="center"/>
              <w:rPr>
                <w:rFonts w:ascii="黑体" w:eastAsia="黑体" w:hAnsi="黑体" w:cs="黑体"/>
                <w:kern w:val="0"/>
                <w:sz w:val="20"/>
                <w:szCs w:val="20"/>
              </w:rPr>
            </w:pPr>
            <w:r>
              <w:rPr>
                <w:rFonts w:ascii="黑体" w:eastAsia="黑体" w:hAnsi="黑体" w:cs="黑体" w:hint="eastAsia"/>
                <w:kern w:val="0"/>
                <w:sz w:val="20"/>
                <w:szCs w:val="20"/>
              </w:rPr>
              <w:t>实施依据</w:t>
            </w:r>
          </w:p>
        </w:tc>
        <w:tc>
          <w:tcPr>
            <w:tcW w:w="649"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jc w:val="center"/>
              <w:rPr>
                <w:rFonts w:ascii="黑体" w:eastAsia="黑体" w:hAnsi="黑体" w:cs="黑体"/>
                <w:kern w:val="0"/>
                <w:sz w:val="20"/>
                <w:szCs w:val="20"/>
              </w:rPr>
            </w:pPr>
            <w:r>
              <w:rPr>
                <w:rFonts w:ascii="黑体" w:eastAsia="黑体" w:hAnsi="黑体" w:cs="黑体" w:hint="eastAsia"/>
                <w:kern w:val="0"/>
                <w:sz w:val="20"/>
                <w:szCs w:val="20"/>
              </w:rPr>
              <w:t>调整类型</w:t>
            </w:r>
          </w:p>
        </w:tc>
        <w:tc>
          <w:tcPr>
            <w:tcW w:w="4460"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jc w:val="center"/>
              <w:rPr>
                <w:rFonts w:ascii="黑体" w:eastAsia="黑体" w:hAnsi="黑体" w:cs="黑体"/>
                <w:kern w:val="0"/>
                <w:sz w:val="20"/>
                <w:szCs w:val="20"/>
              </w:rPr>
            </w:pPr>
            <w:r>
              <w:rPr>
                <w:rFonts w:ascii="黑体" w:eastAsia="黑体" w:hAnsi="黑体" w:cs="黑体" w:hint="eastAsia"/>
                <w:kern w:val="0"/>
                <w:sz w:val="20"/>
                <w:szCs w:val="20"/>
              </w:rPr>
              <w:t>调整意见及理由</w:t>
            </w:r>
          </w:p>
        </w:tc>
      </w:tr>
      <w:tr w:rsidR="000F3CCA">
        <w:trPr>
          <w:trHeight w:val="2400"/>
          <w:jc w:val="center"/>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rsidR="000F3CCA" w:rsidRDefault="00FD61B3">
            <w:pPr>
              <w:jc w:val="center"/>
              <w:rPr>
                <w:rFonts w:ascii="仿宋" w:eastAsia="仿宋" w:hAnsi="仿宋" w:cs="仿宋"/>
                <w:sz w:val="20"/>
                <w:szCs w:val="20"/>
              </w:rPr>
            </w:pPr>
            <w:r>
              <w:rPr>
                <w:rFonts w:ascii="仿宋" w:eastAsia="仿宋" w:hAnsi="仿宋" w:cs="仿宋" w:hint="eastAsia"/>
                <w:sz w:val="20"/>
                <w:szCs w:val="20"/>
              </w:rPr>
              <w:t>1</w:t>
            </w:r>
          </w:p>
        </w:tc>
        <w:tc>
          <w:tcPr>
            <w:tcW w:w="627"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textAlignment w:val="center"/>
              <w:rPr>
                <w:rFonts w:ascii="仿宋" w:eastAsia="仿宋" w:hAnsi="仿宋" w:cs="仿宋"/>
                <w:sz w:val="20"/>
                <w:szCs w:val="20"/>
              </w:rPr>
            </w:pPr>
            <w:r>
              <w:rPr>
                <w:rFonts w:ascii="仿宋" w:eastAsia="仿宋" w:hAnsi="仿宋" w:cs="仿宋" w:hint="eastAsia"/>
                <w:kern w:val="0"/>
                <w:sz w:val="20"/>
                <w:szCs w:val="20"/>
              </w:rPr>
              <w:t>行政确认</w:t>
            </w:r>
          </w:p>
        </w:tc>
        <w:tc>
          <w:tcPr>
            <w:tcW w:w="886"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textAlignment w:val="center"/>
              <w:rPr>
                <w:rFonts w:ascii="仿宋" w:eastAsia="仿宋" w:hAnsi="仿宋" w:cs="仿宋"/>
                <w:sz w:val="20"/>
                <w:szCs w:val="20"/>
              </w:rPr>
            </w:pPr>
            <w:r>
              <w:rPr>
                <w:rFonts w:ascii="仿宋" w:eastAsia="仿宋" w:hAnsi="仿宋" w:cs="仿宋" w:hint="eastAsia"/>
                <w:kern w:val="0"/>
                <w:sz w:val="20"/>
                <w:szCs w:val="20"/>
              </w:rPr>
              <w:t>由退役军人事务部门负责的伤残抚恤人员残疾等级评定和调整，补换伤残证件</w:t>
            </w:r>
          </w:p>
        </w:tc>
        <w:tc>
          <w:tcPr>
            <w:tcW w:w="419" w:type="dxa"/>
            <w:tcBorders>
              <w:top w:val="single" w:sz="4" w:space="0" w:color="auto"/>
              <w:left w:val="nil"/>
              <w:bottom w:val="single" w:sz="4" w:space="0" w:color="auto"/>
              <w:right w:val="single" w:sz="4" w:space="0" w:color="auto"/>
            </w:tcBorders>
            <w:shd w:val="clear" w:color="auto" w:fill="auto"/>
            <w:vAlign w:val="center"/>
          </w:tcPr>
          <w:p w:rsidR="000F3CCA" w:rsidRDefault="00FD61B3">
            <w:pPr>
              <w:rPr>
                <w:rFonts w:ascii="仿宋" w:eastAsia="仿宋" w:hAnsi="仿宋" w:cs="仿宋"/>
                <w:sz w:val="20"/>
                <w:szCs w:val="20"/>
              </w:rPr>
            </w:pPr>
            <w:r>
              <w:rPr>
                <w:rFonts w:ascii="仿宋" w:eastAsia="仿宋" w:hAnsi="仿宋" w:cs="仿宋" w:hint="eastAsia"/>
                <w:sz w:val="20"/>
                <w:szCs w:val="20"/>
              </w:rPr>
              <w:t xml:space="preserve">　</w:t>
            </w:r>
          </w:p>
        </w:tc>
        <w:tc>
          <w:tcPr>
            <w:tcW w:w="6581"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spacing w:line="240" w:lineRule="exact"/>
              <w:textAlignment w:val="center"/>
              <w:rPr>
                <w:rFonts w:ascii="仿宋" w:eastAsia="仿宋" w:hAnsi="仿宋" w:cs="仿宋"/>
                <w:sz w:val="18"/>
                <w:szCs w:val="18"/>
              </w:rPr>
            </w:pPr>
            <w:r>
              <w:rPr>
                <w:rFonts w:ascii="仿宋" w:eastAsia="仿宋" w:hAnsi="仿宋" w:cs="仿宋" w:hint="eastAsia"/>
                <w:kern w:val="0"/>
                <w:sz w:val="18"/>
                <w:szCs w:val="18"/>
              </w:rPr>
              <w:t xml:space="preserve">    1.《军人抚恤优待条例》（2004年8月1日中华人民共和国国务院、中华人民共和国中央军事委员会令第413号公布　根据2011年7月29日《国务院、中央军事委员会关于修改〈军人抚恤优待条例〉的决定》第一次修订　根据2019年3月2日《国务院关于修改部分行政法规的决定》第二次修订　2024年8月5日中华人民共和国国务院、中华人民共和国中央军事委员会令第788号第三次修订）</w:t>
            </w:r>
            <w:r>
              <w:rPr>
                <w:rStyle w:val="font21"/>
                <w:rFonts w:hint="default"/>
                <w:color w:val="auto"/>
                <w:sz w:val="18"/>
                <w:szCs w:val="18"/>
              </w:rPr>
              <w:br/>
            </w:r>
            <w:r>
              <w:rPr>
                <w:rStyle w:val="font11"/>
                <w:rFonts w:hint="default"/>
                <w:color w:val="auto"/>
                <w:sz w:val="18"/>
                <w:szCs w:val="18"/>
              </w:rPr>
              <w:t xml:space="preserve">  第二十八条（三）退出现役的军人和移交政府安置的军队离休退休干部、退休军士需要认定残疾性质和评定残疾等级的，由省级人民政府退役军人工作主管部门认定和评定。</w:t>
            </w:r>
            <w:r>
              <w:rPr>
                <w:rStyle w:val="font21"/>
                <w:rFonts w:hint="default"/>
                <w:color w:val="auto"/>
                <w:sz w:val="18"/>
                <w:szCs w:val="18"/>
              </w:rPr>
              <w:br/>
            </w:r>
            <w:r>
              <w:rPr>
                <w:rStyle w:val="font11"/>
                <w:rFonts w:hint="default"/>
                <w:color w:val="auto"/>
                <w:sz w:val="18"/>
                <w:szCs w:val="18"/>
              </w:rPr>
              <w:t xml:space="preserve">    第二十九条　军人因战、因公致残，未及时评定残疾等级，退出现役后，本人（无民事行为能力人或者限制民事行为能力人由其监护人）应当及时申请补办评定残疾等级；凭原始档案记载及原始病历能够证明服现役期间的残情和伤残性质符合评定残疾等级条件的，可以评定残疾等级。</w:t>
            </w:r>
            <w:r>
              <w:rPr>
                <w:rStyle w:val="font11"/>
                <w:rFonts w:hint="default"/>
                <w:color w:val="auto"/>
                <w:sz w:val="18"/>
                <w:szCs w:val="18"/>
              </w:rPr>
              <w:br/>
              <w:t xml:space="preserve">    被诊断、鉴定为职业病或者因体内残留弹片致残，符合残疾等级评定条件的，可以补办评定残疾等级。</w:t>
            </w:r>
            <w:r>
              <w:rPr>
                <w:rStyle w:val="font11"/>
                <w:rFonts w:hint="default"/>
                <w:color w:val="auto"/>
                <w:sz w:val="18"/>
                <w:szCs w:val="18"/>
              </w:rPr>
              <w:br/>
              <w:t xml:space="preserve">    军人被评定残疾等级后，在服现役期间或者退出现役后原致残部位残疾情况发生明显变化，原定残疾等级与残疾情况明显不符，本人（无民事行为能力人或者限制民事行为能力人由其监护人）申请或者军队卫生部门、地方人民政府退役军人工作主管部门提出需要调整残疾等级的，可以重新评定残疾等级。申请调整残疾等级应当在上一次评定残疾等级1年后提出。</w:t>
            </w:r>
            <w:r>
              <w:rPr>
                <w:rStyle w:val="font21"/>
                <w:rFonts w:hint="default"/>
                <w:color w:val="auto"/>
                <w:sz w:val="18"/>
                <w:szCs w:val="18"/>
              </w:rPr>
              <w:br/>
              <w:t xml:space="preserve">    2.《伤残抚恤管理办法》（2007年7月31日民政部令第34号公布，2019年12月16日退役军人事务部令第1号修订）</w:t>
            </w:r>
            <w:r>
              <w:rPr>
                <w:rStyle w:val="font21"/>
                <w:rFonts w:hint="default"/>
                <w:color w:val="auto"/>
                <w:sz w:val="18"/>
                <w:szCs w:val="18"/>
              </w:rPr>
              <w:br/>
              <w:t xml:space="preserve">    第十五条：伤残证件有效期满或者损毁、遗失的，证件持有人应当到县级人民政府退役军人事务部门申请换发证件或者补发证件。伤残证件遗失的须本人登报声明作废。县级人民政府退役军人事务部门经审查认为符合条件的，填写《伤残人员换证补证审批表》，连同照片逐级上报省级人民政府退役军人事务部门。省级人民政府退役军人事务部门将新办理的伤残证件逐级通过县级人民政府退役军人事务部门发给申请人。各级退役军人事务部门应当在20个工作日内完成本级需要办理的事项。</w:t>
            </w:r>
          </w:p>
        </w:tc>
        <w:tc>
          <w:tcPr>
            <w:tcW w:w="649"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spacing w:line="240" w:lineRule="exact"/>
              <w:rPr>
                <w:rFonts w:ascii="仿宋" w:eastAsia="仿宋" w:hAnsi="仿宋" w:cs="仿宋"/>
                <w:kern w:val="0"/>
                <w:sz w:val="18"/>
                <w:szCs w:val="18"/>
              </w:rPr>
            </w:pPr>
            <w:r>
              <w:rPr>
                <w:rFonts w:ascii="仿宋" w:eastAsia="仿宋" w:hAnsi="仿宋" w:cs="仿宋" w:hint="eastAsia"/>
                <w:kern w:val="0"/>
                <w:sz w:val="18"/>
                <w:szCs w:val="18"/>
              </w:rPr>
              <w:t>规范</w:t>
            </w:r>
          </w:p>
        </w:tc>
        <w:tc>
          <w:tcPr>
            <w:tcW w:w="4460"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spacing w:line="240" w:lineRule="exact"/>
              <w:textAlignment w:val="center"/>
              <w:rPr>
                <w:rFonts w:ascii="仿宋" w:eastAsia="仿宋" w:hAnsi="仿宋" w:cs="仿宋"/>
                <w:kern w:val="0"/>
                <w:sz w:val="18"/>
                <w:szCs w:val="18"/>
              </w:rPr>
            </w:pPr>
            <w:r>
              <w:rPr>
                <w:rFonts w:ascii="仿宋" w:eastAsia="仿宋" w:hAnsi="仿宋" w:cs="仿宋" w:hint="eastAsia"/>
                <w:kern w:val="0"/>
                <w:sz w:val="18"/>
                <w:szCs w:val="18"/>
              </w:rPr>
              <w:t xml:space="preserve">    根据2024年10月1日公布的《军人抚恤优待条例》第1条实施依据修改为：《军人抚恤优待条例》（2004年8月1日中华人民共和国国务院、中华人民共和国中央军事委员会令第413号公布　根据2011年7月29日《国务院、中央军事委员会关于修改〈军人抚恤优待条例〉的决定》第一次修订　根据2019年3月2日《国务院关于修改部分行政法规的决定》第二次修订　2024年8月5日中华人民共和国国务院、中华人民共和国中央军事委员会令第788号第三次修订）</w:t>
            </w:r>
            <w:r>
              <w:rPr>
                <w:rFonts w:ascii="仿宋" w:eastAsia="仿宋" w:hAnsi="仿宋" w:cs="仿宋" w:hint="eastAsia"/>
                <w:kern w:val="0"/>
                <w:sz w:val="18"/>
                <w:szCs w:val="18"/>
              </w:rPr>
              <w:br/>
              <w:t xml:space="preserve">    第二十八条（三）退出现役的军人和移交政府安置的军队离休退休干部、退休军士需要认定残疾性质和评定残疾等级的，由省级人民政府退役军人工作主管部门认定和评定。</w:t>
            </w:r>
            <w:r>
              <w:rPr>
                <w:rFonts w:ascii="仿宋" w:eastAsia="仿宋" w:hAnsi="仿宋" w:cs="仿宋" w:hint="eastAsia"/>
                <w:kern w:val="0"/>
                <w:sz w:val="18"/>
                <w:szCs w:val="18"/>
              </w:rPr>
              <w:br/>
              <w:t xml:space="preserve">    第二十九条　军人因战、因公致残，未及时评定残疾等级，退出现役后，本人（无民事行为能力人或者限制民事行为能力人由其监护人）应当及时申请补办评定残疾等级；凭原始档案记载及原始病历能够证明服现役期间的残情和伤残性质符合评定残疾等级条件的，可以评定残疾等级。</w:t>
            </w:r>
            <w:r>
              <w:rPr>
                <w:rFonts w:ascii="仿宋" w:eastAsia="仿宋" w:hAnsi="仿宋" w:cs="仿宋" w:hint="eastAsia"/>
                <w:kern w:val="0"/>
                <w:sz w:val="18"/>
                <w:szCs w:val="18"/>
              </w:rPr>
              <w:br/>
              <w:t xml:space="preserve">    被诊断、鉴定为职业病或者因体内残留弹片致残，符合残疾等级评定条件的，可以补办评定残疾等级。</w:t>
            </w:r>
            <w:r>
              <w:rPr>
                <w:rFonts w:ascii="仿宋" w:eastAsia="仿宋" w:hAnsi="仿宋" w:cs="仿宋" w:hint="eastAsia"/>
                <w:kern w:val="0"/>
                <w:sz w:val="18"/>
                <w:szCs w:val="18"/>
              </w:rPr>
              <w:br/>
              <w:t xml:space="preserve">    军人被评定残疾等级后，在服现役期间或者退出现役后原致残部位残疾情况发生明显变化，原定残疾等级与残疾情况明显不符，本人（无民事行为能力人或者限制民事行为能力人由其监护人）申请或者军队卫生部门、地方人民政府退役军人工作主管部门提出需要调整残疾等级的，可以重新评定残疾等级。申请调整残疾等级应当在上一次评定残疾等级1年后提出。</w:t>
            </w:r>
          </w:p>
        </w:tc>
      </w:tr>
      <w:tr w:rsidR="000F3CCA">
        <w:trPr>
          <w:trHeight w:val="2400"/>
          <w:jc w:val="center"/>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rsidR="000F3CCA" w:rsidRDefault="00FD61B3">
            <w:pPr>
              <w:jc w:val="center"/>
              <w:rPr>
                <w:rFonts w:ascii="仿宋" w:eastAsia="仿宋" w:hAnsi="仿宋" w:cs="仿宋"/>
                <w:sz w:val="20"/>
                <w:szCs w:val="20"/>
              </w:rPr>
            </w:pPr>
            <w:r>
              <w:rPr>
                <w:rFonts w:ascii="仿宋" w:eastAsia="仿宋" w:hAnsi="仿宋" w:cs="仿宋" w:hint="eastAsia"/>
                <w:sz w:val="20"/>
                <w:szCs w:val="20"/>
              </w:rPr>
              <w:lastRenderedPageBreak/>
              <w:t>2</w:t>
            </w:r>
          </w:p>
        </w:tc>
        <w:tc>
          <w:tcPr>
            <w:tcW w:w="627"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textAlignment w:val="center"/>
              <w:rPr>
                <w:rFonts w:ascii="仿宋" w:eastAsia="仿宋" w:hAnsi="仿宋" w:cs="仿宋"/>
                <w:sz w:val="20"/>
                <w:szCs w:val="20"/>
              </w:rPr>
            </w:pPr>
            <w:r>
              <w:rPr>
                <w:rFonts w:ascii="仿宋" w:eastAsia="仿宋" w:hAnsi="仿宋" w:cs="仿宋" w:hint="eastAsia"/>
                <w:kern w:val="0"/>
                <w:sz w:val="20"/>
                <w:szCs w:val="20"/>
              </w:rPr>
              <w:t>其他权力</w:t>
            </w:r>
          </w:p>
        </w:tc>
        <w:tc>
          <w:tcPr>
            <w:tcW w:w="886"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textAlignment w:val="center"/>
              <w:rPr>
                <w:rFonts w:ascii="仿宋" w:eastAsia="仿宋" w:hAnsi="仿宋" w:cs="仿宋"/>
                <w:sz w:val="20"/>
                <w:szCs w:val="20"/>
              </w:rPr>
            </w:pPr>
            <w:r>
              <w:rPr>
                <w:rFonts w:ascii="仿宋" w:eastAsia="仿宋" w:hAnsi="仿宋" w:cs="仿宋" w:hint="eastAsia"/>
                <w:kern w:val="0"/>
                <w:sz w:val="20"/>
                <w:szCs w:val="20"/>
              </w:rPr>
              <w:t>确定县级烈士纪念设施并报县政府批准</w:t>
            </w:r>
          </w:p>
        </w:tc>
        <w:tc>
          <w:tcPr>
            <w:tcW w:w="419" w:type="dxa"/>
            <w:tcBorders>
              <w:top w:val="single" w:sz="4" w:space="0" w:color="auto"/>
              <w:left w:val="nil"/>
              <w:bottom w:val="single" w:sz="4" w:space="0" w:color="auto"/>
              <w:right w:val="single" w:sz="4" w:space="0" w:color="auto"/>
            </w:tcBorders>
            <w:shd w:val="clear" w:color="auto" w:fill="auto"/>
            <w:vAlign w:val="center"/>
          </w:tcPr>
          <w:p w:rsidR="000F3CCA" w:rsidRDefault="00FD61B3">
            <w:pPr>
              <w:rPr>
                <w:rFonts w:ascii="仿宋" w:eastAsia="仿宋" w:hAnsi="仿宋" w:cs="仿宋"/>
                <w:sz w:val="20"/>
                <w:szCs w:val="20"/>
              </w:rPr>
            </w:pPr>
            <w:r>
              <w:rPr>
                <w:rFonts w:ascii="仿宋" w:eastAsia="仿宋" w:hAnsi="仿宋" w:cs="仿宋" w:hint="eastAsia"/>
                <w:sz w:val="20"/>
                <w:szCs w:val="20"/>
              </w:rPr>
              <w:t xml:space="preserve">　</w:t>
            </w:r>
          </w:p>
        </w:tc>
        <w:tc>
          <w:tcPr>
            <w:tcW w:w="6581"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spacing w:line="240" w:lineRule="exact"/>
              <w:textAlignment w:val="center"/>
              <w:rPr>
                <w:rFonts w:ascii="仿宋" w:eastAsia="仿宋" w:hAnsi="仿宋" w:cs="仿宋"/>
                <w:sz w:val="18"/>
                <w:szCs w:val="18"/>
              </w:rPr>
            </w:pPr>
            <w:r>
              <w:rPr>
                <w:rFonts w:ascii="仿宋" w:eastAsia="仿宋" w:hAnsi="仿宋" w:cs="仿宋" w:hint="eastAsia"/>
                <w:kern w:val="0"/>
                <w:sz w:val="18"/>
                <w:szCs w:val="18"/>
              </w:rPr>
              <w:t xml:space="preserve">    1.《烈士褒扬条例》（2011年7月26日中华人民共和国国务院令第601号公布，根据2019年3月2日《国务院关于修改部分行政法规的决定》第一次修订　根据2019年8月1日《国务院关于修改〈烈士褒扬条例〉的决定》第二次修订，2024年9月27日中华人民共和国国务院令第791号第三次修订)</w:t>
            </w:r>
            <w:r>
              <w:rPr>
                <w:rFonts w:ascii="仿宋" w:eastAsia="仿宋" w:hAnsi="仿宋" w:cs="仿宋" w:hint="eastAsia"/>
                <w:kern w:val="0"/>
                <w:sz w:val="18"/>
                <w:szCs w:val="18"/>
              </w:rPr>
              <w:br/>
              <w:t xml:space="preserve">    第三十三条：对烈士纪念设施实行分级保护，根据纪念意义、建设规模、保护状况等分为国家级烈士纪念设施、省级烈士纪念设施、设区的市级烈士纪念设施和县级烈士纪念设施。分级的具体标准由国务院退役军人工作主管部门规定。国家级烈士纪念设施，由国务院退役军人工作主管部门报国务院批准后公布。地方各级烈士纪念设施，由县级以上地方人民政府退役军人工作主管部门报本级人民政府批准后公布，并报上一级人民政府退役军人工作主管部门备案。</w:t>
            </w:r>
            <w:r>
              <w:rPr>
                <w:rStyle w:val="font31"/>
                <w:rFonts w:hint="default"/>
                <w:color w:val="auto"/>
                <w:sz w:val="18"/>
                <w:szCs w:val="18"/>
              </w:rPr>
              <w:br/>
              <w:t xml:space="preserve">    2.《烈士纪念设施保护管理办法》（2013年6月27日民政部令第47号公布  2022年1月24日退役军人事务部令第6号修订）</w:t>
            </w:r>
            <w:r>
              <w:rPr>
                <w:rStyle w:val="font31"/>
                <w:rFonts w:hint="default"/>
                <w:color w:val="auto"/>
                <w:sz w:val="18"/>
                <w:szCs w:val="18"/>
              </w:rPr>
              <w:br/>
              <w:t xml:space="preserve">    第九条第二款：申报地方各级烈士纪念设施，由拟核定其保护级别的县级以上人民政府退役军人工作主管部门向本级人民政府提出申请，经本级人民政府批准后公布，并在公布后二十个工作日内报上一级人民政府退役军人工作主管部门备案。</w:t>
            </w:r>
          </w:p>
        </w:tc>
        <w:tc>
          <w:tcPr>
            <w:tcW w:w="649"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spacing w:line="240" w:lineRule="exact"/>
              <w:rPr>
                <w:rFonts w:ascii="仿宋" w:eastAsia="仿宋" w:hAnsi="仿宋" w:cs="仿宋"/>
                <w:kern w:val="0"/>
                <w:sz w:val="18"/>
                <w:szCs w:val="18"/>
              </w:rPr>
            </w:pPr>
            <w:r>
              <w:rPr>
                <w:rFonts w:ascii="仿宋" w:eastAsia="仿宋" w:hAnsi="仿宋" w:cs="仿宋" w:hint="eastAsia"/>
                <w:kern w:val="0"/>
                <w:sz w:val="18"/>
                <w:szCs w:val="18"/>
              </w:rPr>
              <w:t>规范</w:t>
            </w:r>
          </w:p>
        </w:tc>
        <w:tc>
          <w:tcPr>
            <w:tcW w:w="4460"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spacing w:line="240" w:lineRule="exact"/>
              <w:textAlignment w:val="center"/>
              <w:rPr>
                <w:rFonts w:ascii="仿宋" w:eastAsia="仿宋" w:hAnsi="仿宋" w:cs="仿宋"/>
                <w:sz w:val="18"/>
                <w:szCs w:val="18"/>
              </w:rPr>
            </w:pPr>
            <w:r>
              <w:rPr>
                <w:rFonts w:ascii="仿宋" w:eastAsia="仿宋" w:hAnsi="仿宋" w:cs="仿宋" w:hint="eastAsia"/>
                <w:kern w:val="0"/>
                <w:sz w:val="18"/>
                <w:szCs w:val="18"/>
              </w:rPr>
              <w:t xml:space="preserve">    根据2025年1月1日公布的《烈士褒扬条例》，第1条实施依据修改为：《烈士褒扬条例》（2011年7月26日中华人民共和国国务院令第601号公布，根据2019年3月2日《国务院关于修改部分行政法规的决定》第一次修订　根据2019年8月1日《国务院关于修改〈烈士褒扬条例〉的决定》第二次修订，2024年9月27日中华人民共和国国务院令第791号第三次修订）第三十三条：对烈士纪念设施实行分级保护，根据纪念意义、建设规模、保护状况等分为国家级烈士纪念设施、省级烈士纪念设施、设区的市级烈士纪念设施和县级烈士纪念设施。分级的具体标准由国务院退役军人工作主管部门规定。国家级烈士纪念设施，由国务院退役军人工作主管部门报国务院批准后公布。地方各级烈士纪念设施，由县级以上地方人民政府退役军人工作主管部门报本级人民政府批准后公布，并报上一级人民政府退役军人工作主管部门备案。</w:t>
            </w:r>
          </w:p>
        </w:tc>
      </w:tr>
      <w:tr w:rsidR="000F3CCA">
        <w:trPr>
          <w:trHeight w:val="2400"/>
          <w:jc w:val="center"/>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rsidR="000F3CCA" w:rsidRDefault="00FD61B3">
            <w:pPr>
              <w:jc w:val="center"/>
              <w:rPr>
                <w:rFonts w:ascii="仿宋" w:eastAsia="仿宋" w:hAnsi="仿宋" w:cs="仿宋"/>
                <w:sz w:val="20"/>
                <w:szCs w:val="20"/>
              </w:rPr>
            </w:pPr>
            <w:r>
              <w:rPr>
                <w:rFonts w:ascii="仿宋" w:eastAsia="仿宋" w:hAnsi="仿宋" w:cs="仿宋" w:hint="eastAsia"/>
                <w:sz w:val="20"/>
                <w:szCs w:val="20"/>
              </w:rPr>
              <w:t>3</w:t>
            </w:r>
          </w:p>
        </w:tc>
        <w:tc>
          <w:tcPr>
            <w:tcW w:w="627"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textAlignment w:val="center"/>
              <w:rPr>
                <w:rFonts w:ascii="仿宋" w:eastAsia="仿宋" w:hAnsi="仿宋" w:cs="仿宋"/>
                <w:sz w:val="20"/>
                <w:szCs w:val="20"/>
              </w:rPr>
            </w:pPr>
            <w:r>
              <w:rPr>
                <w:rFonts w:ascii="仿宋" w:eastAsia="仿宋" w:hAnsi="仿宋" w:cs="仿宋" w:hint="eastAsia"/>
                <w:kern w:val="0"/>
                <w:sz w:val="20"/>
                <w:szCs w:val="20"/>
              </w:rPr>
              <w:t>其他权力</w:t>
            </w:r>
          </w:p>
        </w:tc>
        <w:tc>
          <w:tcPr>
            <w:tcW w:w="886"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textAlignment w:val="center"/>
              <w:rPr>
                <w:rFonts w:ascii="仿宋" w:eastAsia="仿宋" w:hAnsi="仿宋" w:cs="仿宋"/>
                <w:sz w:val="20"/>
                <w:szCs w:val="20"/>
              </w:rPr>
            </w:pPr>
            <w:r>
              <w:rPr>
                <w:rFonts w:ascii="仿宋" w:eastAsia="仿宋" w:hAnsi="仿宋" w:cs="仿宋" w:hint="eastAsia"/>
                <w:kern w:val="0"/>
                <w:sz w:val="20"/>
                <w:szCs w:val="20"/>
              </w:rPr>
              <w:t>带病回乡退役军人认定</w:t>
            </w:r>
          </w:p>
        </w:tc>
        <w:tc>
          <w:tcPr>
            <w:tcW w:w="419" w:type="dxa"/>
            <w:tcBorders>
              <w:top w:val="single" w:sz="4" w:space="0" w:color="auto"/>
              <w:left w:val="nil"/>
              <w:bottom w:val="single" w:sz="4" w:space="0" w:color="auto"/>
              <w:right w:val="single" w:sz="4" w:space="0" w:color="auto"/>
            </w:tcBorders>
            <w:shd w:val="clear" w:color="auto" w:fill="auto"/>
            <w:vAlign w:val="center"/>
          </w:tcPr>
          <w:p w:rsidR="000F3CCA" w:rsidRDefault="00FD61B3">
            <w:pPr>
              <w:rPr>
                <w:rFonts w:ascii="仿宋" w:eastAsia="仿宋" w:hAnsi="仿宋" w:cs="仿宋"/>
                <w:sz w:val="20"/>
                <w:szCs w:val="20"/>
              </w:rPr>
            </w:pPr>
            <w:r>
              <w:rPr>
                <w:rFonts w:ascii="仿宋" w:eastAsia="仿宋" w:hAnsi="仿宋" w:cs="仿宋" w:hint="eastAsia"/>
                <w:sz w:val="20"/>
                <w:szCs w:val="20"/>
              </w:rPr>
              <w:t xml:space="preserve">　</w:t>
            </w:r>
          </w:p>
        </w:tc>
        <w:tc>
          <w:tcPr>
            <w:tcW w:w="6581"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spacing w:line="240" w:lineRule="exact"/>
              <w:textAlignment w:val="center"/>
              <w:rPr>
                <w:rFonts w:ascii="仿宋" w:eastAsia="仿宋" w:hAnsi="仿宋" w:cs="仿宋"/>
                <w:sz w:val="18"/>
                <w:szCs w:val="18"/>
              </w:rPr>
            </w:pPr>
            <w:r>
              <w:rPr>
                <w:rFonts w:ascii="仿宋" w:eastAsia="仿宋" w:hAnsi="仿宋" w:cs="仿宋" w:hint="eastAsia"/>
                <w:kern w:val="0"/>
                <w:sz w:val="18"/>
                <w:szCs w:val="18"/>
              </w:rPr>
              <w:t xml:space="preserve">    1.《军人抚恤优待条例》（2004年8月1日中华人民共和国国务院、中华人民共和国中央军事委员会令第413号公布　根据2011年7月29日《国务院、中央军事委员会关于修改〈军人抚恤优待条例〉的决定》第一次修订　根据2019年3月2日《国务院关于修改部分行政法规的决定》第二次修订　2024年8月5日中华人民共和国国务院、中华人民共和国中央军事委员会令第788号第三次修订）</w:t>
            </w:r>
            <w:r>
              <w:rPr>
                <w:rFonts w:ascii="仿宋" w:eastAsia="仿宋" w:hAnsi="仿宋" w:cs="仿宋" w:hint="eastAsia"/>
                <w:kern w:val="0"/>
                <w:sz w:val="18"/>
                <w:szCs w:val="18"/>
              </w:rPr>
              <w:br/>
              <w:t xml:space="preserve">    第六十二条　国家按照规定为符合条件的参战退役军人、带病回乡退役军人、年满60周岁农村籍退役士兵、1954年10月31日之前入伍后经批准退出现役的人员，以及居住在农村和城镇无工作单位且年满60周岁、在国家建立定期抚恤金制度时已满18周岁的烈士子女，发放定期生活补助。</w:t>
            </w:r>
            <w:r>
              <w:rPr>
                <w:rStyle w:val="font31"/>
                <w:rFonts w:hint="default"/>
                <w:color w:val="auto"/>
                <w:sz w:val="18"/>
                <w:szCs w:val="18"/>
              </w:rPr>
              <w:br/>
              <w:t xml:space="preserve">    2.《民政部关于进一步规范带病回乡退伍军人认定有关问题的通知》（民函〔2012〕255号）一.申请享受带病回乡退伍军人待遇，应当由当事人向县级人民政府民政部门提出，由设区的市级以上地方人民政府民政部门审批。具体审批机关由省级人民政府民政部门规定。</w:t>
            </w:r>
            <w:r>
              <w:rPr>
                <w:rStyle w:val="font31"/>
                <w:rFonts w:hint="default"/>
                <w:color w:val="auto"/>
                <w:sz w:val="18"/>
                <w:szCs w:val="18"/>
              </w:rPr>
              <w:br/>
            </w:r>
            <w:r>
              <w:rPr>
                <w:rStyle w:val="font11"/>
                <w:rFonts w:hint="default"/>
                <w:color w:val="auto"/>
                <w:sz w:val="18"/>
                <w:szCs w:val="18"/>
              </w:rPr>
              <w:t xml:space="preserve"> 3.《关于明确带病回乡退伍军人相关政策的批复》（皖退役军人秘〔2021〕106号）规定：根据《民政部关于进一步规范带病回乡退伍军人认定有关问题的通知》</w:t>
            </w:r>
            <w:r>
              <w:rPr>
                <w:rStyle w:val="font11"/>
                <w:rFonts w:hint="default"/>
                <w:color w:val="auto"/>
                <w:sz w:val="18"/>
                <w:szCs w:val="18"/>
              </w:rPr>
              <w:lastRenderedPageBreak/>
              <w:t>（民函〔2012〕255号）文件精神，我省认定带病回乡退伍军人身份的审批机关为设区的市退役军人事务部门。</w:t>
            </w:r>
          </w:p>
        </w:tc>
        <w:tc>
          <w:tcPr>
            <w:tcW w:w="649"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spacing w:line="240" w:lineRule="exact"/>
              <w:rPr>
                <w:rFonts w:ascii="仿宋" w:eastAsia="仿宋" w:hAnsi="仿宋" w:cs="仿宋"/>
                <w:kern w:val="0"/>
                <w:sz w:val="18"/>
                <w:szCs w:val="18"/>
              </w:rPr>
            </w:pPr>
            <w:r>
              <w:rPr>
                <w:rFonts w:ascii="仿宋" w:eastAsia="仿宋" w:hAnsi="仿宋" w:cs="仿宋" w:hint="eastAsia"/>
                <w:kern w:val="0"/>
                <w:sz w:val="18"/>
                <w:szCs w:val="18"/>
              </w:rPr>
              <w:lastRenderedPageBreak/>
              <w:t>规范</w:t>
            </w:r>
          </w:p>
        </w:tc>
        <w:tc>
          <w:tcPr>
            <w:tcW w:w="4460"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spacing w:line="240" w:lineRule="exact"/>
              <w:textAlignment w:val="center"/>
              <w:rPr>
                <w:rFonts w:ascii="仿宋" w:eastAsia="仿宋" w:hAnsi="仿宋" w:cs="仿宋"/>
                <w:kern w:val="0"/>
                <w:sz w:val="18"/>
                <w:szCs w:val="18"/>
              </w:rPr>
            </w:pPr>
            <w:r>
              <w:rPr>
                <w:rFonts w:ascii="仿宋" w:eastAsia="仿宋" w:hAnsi="仿宋" w:cs="仿宋" w:hint="eastAsia"/>
                <w:kern w:val="0"/>
                <w:sz w:val="18"/>
                <w:szCs w:val="18"/>
              </w:rPr>
              <w:t xml:space="preserve">    名称修改为：带病回乡退役军人认定</w:t>
            </w:r>
            <w:r>
              <w:rPr>
                <w:rFonts w:ascii="仿宋" w:eastAsia="仿宋" w:hAnsi="仿宋" w:cs="仿宋" w:hint="eastAsia"/>
                <w:kern w:val="0"/>
                <w:sz w:val="18"/>
                <w:szCs w:val="18"/>
              </w:rPr>
              <w:br/>
              <w:t xml:space="preserve">    根据2024年10月1日公布的《军人抚恤优待条例》第1条实施依据修改为： 1.《军人抚恤优待条例》（2004年8月1日中华人民共和国国务院、中华人民共和国中央军事委员会令第413号公布　根据2011年7月29日《国务院、中央军事委员会关于修改〈军人抚恤优待条例〉的决定》第一次修订　根据2019年3月2日《国务院关于修改部分行政法规的决定》第二次修订　2024年8月5日中华人民共和国国务院、中华人民共和国中央军事委员会令第788号第三次修订）</w:t>
            </w:r>
            <w:r>
              <w:rPr>
                <w:rFonts w:ascii="仿宋" w:eastAsia="仿宋" w:hAnsi="仿宋" w:cs="仿宋" w:hint="eastAsia"/>
                <w:kern w:val="0"/>
                <w:sz w:val="18"/>
                <w:szCs w:val="18"/>
              </w:rPr>
              <w:br/>
              <w:t xml:space="preserve">    第六十二条　国家按照规定为符合条件的参战退役军人、带病回乡退役军人、年满60周岁农村籍退役士兵、1954年10月31日之前入伍后经批准退出现役的人员，以及居住在农村和城镇无工作单位且年满60周岁、在国家建立定期抚恤金制度时已满18周岁的烈</w:t>
            </w:r>
            <w:r>
              <w:rPr>
                <w:rFonts w:ascii="仿宋" w:eastAsia="仿宋" w:hAnsi="仿宋" w:cs="仿宋" w:hint="eastAsia"/>
                <w:kern w:val="0"/>
                <w:sz w:val="18"/>
                <w:szCs w:val="18"/>
              </w:rPr>
              <w:lastRenderedPageBreak/>
              <w:t>士子女，发放定期生活补助。</w:t>
            </w:r>
            <w:r>
              <w:rPr>
                <w:rFonts w:ascii="仿宋" w:eastAsia="仿宋" w:hAnsi="仿宋" w:cs="仿宋" w:hint="eastAsia"/>
                <w:kern w:val="0"/>
                <w:sz w:val="18"/>
                <w:szCs w:val="18"/>
              </w:rPr>
              <w:br/>
              <w:t xml:space="preserve">    新增第3条实施依据：《关于明确带病回乡退伍军人相关政策的批复》（皖退役军人秘〔2021〕106号）规定：根据《民政部关于进一步规范带病回乡退伍军人认定有关问题的通知》（民函〔2012〕255号）文件精神，我省认定带病回乡退伍军人身份的审批机关为设区的市退役军人事务部门。</w:t>
            </w:r>
          </w:p>
        </w:tc>
      </w:tr>
      <w:tr w:rsidR="000F3CCA">
        <w:trPr>
          <w:trHeight w:val="2400"/>
          <w:jc w:val="center"/>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rsidR="000F3CCA" w:rsidRDefault="00FD61B3">
            <w:pPr>
              <w:jc w:val="center"/>
              <w:rPr>
                <w:rFonts w:ascii="仿宋" w:eastAsia="仿宋" w:hAnsi="仿宋" w:cs="仿宋"/>
                <w:sz w:val="20"/>
                <w:szCs w:val="20"/>
              </w:rPr>
            </w:pPr>
            <w:r>
              <w:rPr>
                <w:rFonts w:ascii="仿宋" w:eastAsia="仿宋" w:hAnsi="仿宋" w:cs="仿宋" w:hint="eastAsia"/>
                <w:sz w:val="20"/>
                <w:szCs w:val="20"/>
              </w:rPr>
              <w:lastRenderedPageBreak/>
              <w:t>4</w:t>
            </w:r>
          </w:p>
        </w:tc>
        <w:tc>
          <w:tcPr>
            <w:tcW w:w="627"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textAlignment w:val="center"/>
              <w:rPr>
                <w:rFonts w:ascii="仿宋" w:eastAsia="仿宋" w:hAnsi="仿宋" w:cs="仿宋"/>
                <w:sz w:val="20"/>
                <w:szCs w:val="20"/>
              </w:rPr>
            </w:pPr>
            <w:r>
              <w:rPr>
                <w:rFonts w:ascii="仿宋" w:eastAsia="仿宋" w:hAnsi="仿宋" w:cs="仿宋" w:hint="eastAsia"/>
                <w:kern w:val="0"/>
                <w:sz w:val="20"/>
                <w:szCs w:val="20"/>
              </w:rPr>
              <w:t>其他权力</w:t>
            </w:r>
          </w:p>
        </w:tc>
        <w:tc>
          <w:tcPr>
            <w:tcW w:w="886"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textAlignment w:val="center"/>
              <w:rPr>
                <w:rFonts w:ascii="仿宋" w:eastAsia="仿宋" w:hAnsi="仿宋" w:cs="仿宋"/>
                <w:sz w:val="20"/>
                <w:szCs w:val="20"/>
              </w:rPr>
            </w:pPr>
            <w:r>
              <w:rPr>
                <w:rFonts w:ascii="仿宋" w:eastAsia="仿宋" w:hAnsi="仿宋" w:cs="仿宋" w:hint="eastAsia"/>
                <w:kern w:val="0"/>
                <w:sz w:val="20"/>
                <w:szCs w:val="20"/>
              </w:rPr>
              <w:t>残疾军人伤残抚恤关系转移审核</w:t>
            </w:r>
          </w:p>
        </w:tc>
        <w:tc>
          <w:tcPr>
            <w:tcW w:w="419" w:type="dxa"/>
            <w:tcBorders>
              <w:top w:val="single" w:sz="4" w:space="0" w:color="auto"/>
              <w:left w:val="nil"/>
              <w:bottom w:val="single" w:sz="4" w:space="0" w:color="auto"/>
              <w:right w:val="single" w:sz="4" w:space="0" w:color="auto"/>
            </w:tcBorders>
            <w:shd w:val="clear" w:color="auto" w:fill="auto"/>
            <w:vAlign w:val="center"/>
          </w:tcPr>
          <w:p w:rsidR="000F3CCA" w:rsidRDefault="00FD61B3">
            <w:pPr>
              <w:rPr>
                <w:rFonts w:ascii="仿宋" w:eastAsia="仿宋" w:hAnsi="仿宋" w:cs="仿宋"/>
                <w:sz w:val="20"/>
                <w:szCs w:val="20"/>
              </w:rPr>
            </w:pPr>
            <w:r>
              <w:rPr>
                <w:rFonts w:ascii="仿宋" w:eastAsia="仿宋" w:hAnsi="仿宋" w:cs="仿宋" w:hint="eastAsia"/>
                <w:sz w:val="20"/>
                <w:szCs w:val="20"/>
              </w:rPr>
              <w:t xml:space="preserve">　</w:t>
            </w:r>
          </w:p>
        </w:tc>
        <w:tc>
          <w:tcPr>
            <w:tcW w:w="6581"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spacing w:line="240" w:lineRule="exact"/>
              <w:textAlignment w:val="center"/>
              <w:rPr>
                <w:rFonts w:ascii="仿宋" w:eastAsia="仿宋" w:hAnsi="仿宋" w:cs="仿宋"/>
                <w:sz w:val="18"/>
                <w:szCs w:val="18"/>
              </w:rPr>
            </w:pPr>
            <w:r>
              <w:rPr>
                <w:rFonts w:ascii="仿宋" w:eastAsia="仿宋" w:hAnsi="仿宋" w:cs="仿宋" w:hint="eastAsia"/>
                <w:kern w:val="0"/>
                <w:sz w:val="18"/>
                <w:szCs w:val="18"/>
              </w:rPr>
              <w:t xml:space="preserve">   1.《军人抚恤优待条例》（2004年8月1日中华人民共和国国务院、中华人民共和国中央军事委员会令第413号公布　根据2011年7月29日《国务院、中央军事委员会关于修改〈军人抚恤优待条例〉的决定》第一次修订　根据2019年3月2日《国务院关于修改部分行政法规的决定》第二次修订　2024年8月5日中华人民共和国国务院、中华人民共和国中央军事委员会令第788号第三次修订）</w:t>
            </w:r>
            <w:r>
              <w:rPr>
                <w:rFonts w:ascii="仿宋" w:eastAsia="仿宋" w:hAnsi="仿宋" w:cs="仿宋" w:hint="eastAsia"/>
                <w:kern w:val="0"/>
                <w:sz w:val="18"/>
                <w:szCs w:val="18"/>
              </w:rPr>
              <w:br/>
              <w:t xml:space="preserve">    第三十条　退出现役的残疾军人或者向政府移交的残疾军人，应当自军队办理退役手续或者移交手续后60日内，向户籍迁入地县级人民政府退役军人工作主管部门申请转入抚恤关系，按照残疾性质和等级享受残疾抚恤金。其退役或者向政府移交当年的残疾抚恤金由所在部队发给，迁入地县级人民政府退役军人工作主管部门从下一年起按照当地的标准发给。</w:t>
            </w:r>
            <w:r>
              <w:rPr>
                <w:rStyle w:val="font21"/>
                <w:rFonts w:hint="default"/>
                <w:color w:val="auto"/>
                <w:sz w:val="18"/>
                <w:szCs w:val="18"/>
              </w:rPr>
              <w:br/>
              <w:t xml:space="preserve">    2.《伤残抚恤管理办法》（2007年7月31日民政部令第34号公布 根据2013年7月5日《民政部关于修改〈伤残抚恤管理办法〉的决定》修订 2019年12月16日退役军人事务部令第1号修订)</w:t>
            </w:r>
            <w:r>
              <w:rPr>
                <w:rStyle w:val="font21"/>
                <w:rFonts w:hint="default"/>
                <w:color w:val="auto"/>
                <w:sz w:val="18"/>
                <w:szCs w:val="18"/>
              </w:rPr>
              <w:br/>
              <w:t xml:space="preserve">    第二十条：残疾军人退役或者向政府移交，必须自军队办理了退役手续或者移交手续后60日内，向户籍迁入地的县级人民政府退役军人事务部门申请转入抚恤关系。退役军人事务部门必须进行审查、登记、备案。审查的材料有：《户口登记簿》、《残疾军人证》、军队相关部门监制的《军人残疾等级评定表》、《换领&lt;中华人民共和国残疾军人证&gt;申报审批表》、退役证件或者移交政府安置的相关证明。</w:t>
            </w:r>
            <w:r>
              <w:rPr>
                <w:rStyle w:val="font21"/>
                <w:rFonts w:hint="default"/>
                <w:color w:val="auto"/>
                <w:sz w:val="18"/>
                <w:szCs w:val="18"/>
              </w:rPr>
              <w:br/>
              <w:t xml:space="preserve">    县级人民政府退役军人事务部门应当对残疾军人残疾情况及有关材料进行审查，必要时可以复查鉴定残疾情况。认为符合条件的，将《残疾军人证》及有关</w:t>
            </w:r>
            <w:r>
              <w:rPr>
                <w:rStyle w:val="font21"/>
                <w:rFonts w:hint="default"/>
                <w:color w:val="auto"/>
                <w:sz w:val="18"/>
                <w:szCs w:val="18"/>
              </w:rPr>
              <w:lastRenderedPageBreak/>
              <w:t>材料逐级报送省级人民政府退役军人事务部门。省级人民政府退役军人事务部门审查无误的，在《残疾军人证》变更栏内填写新的户籍地、重新编号，并加盖印章，将《残疾军人证》逐级通过县级人民政府退役军人事务部门发还申请人。各级退役军人事务部门应当在20个工作日内完成本级需要办理的事项。如复查、鉴定残疾情况的可以适当延长工作日。</w:t>
            </w:r>
            <w:r>
              <w:rPr>
                <w:rStyle w:val="font21"/>
                <w:rFonts w:hint="default"/>
                <w:color w:val="auto"/>
                <w:sz w:val="18"/>
                <w:szCs w:val="18"/>
              </w:rPr>
              <w:br/>
              <w:t xml:space="preserve">    《军人残疾等级评定表》或者《换领〈中华人民共和国残疾军人证〉申报审批表》记载的残疾情况与残疾等级明显不符的，县级退役军人事务部门应当暂缓登记，逐级上报省级人民政府退役军人事务部门通知原审批机关更正，或者按复查鉴定的残疾情况重新评定残疾等级。伪造、变造《残疾军人证》和评残材料的，县级人民政府退役军人事务部门收回《残疾军人证》不予登记，并移交当地公安机关处理。</w:t>
            </w:r>
            <w:r>
              <w:rPr>
                <w:rStyle w:val="font21"/>
                <w:rFonts w:hint="default"/>
                <w:color w:val="auto"/>
                <w:sz w:val="18"/>
                <w:szCs w:val="18"/>
              </w:rPr>
              <w:br/>
              <w:t xml:space="preserve">    第二十一条：伤残人员跨省迁移户籍时，应同步转移伤残抚恤关系，迁出地的县级人民政府退役军人事务部门根据伤残人员申请及其伤残证件和迁入地户口簿，将伤残档案、迁入地户口簿复印件以及《伤残人员关系转移证明》，发送迁入地县级人民政府退役军人事务部门，并同时将此信息逐级上报本省级人民政府退役军人事务部门。</w:t>
            </w:r>
            <w:r>
              <w:rPr>
                <w:rStyle w:val="font21"/>
                <w:rFonts w:hint="default"/>
                <w:color w:val="auto"/>
                <w:sz w:val="18"/>
                <w:szCs w:val="18"/>
              </w:rPr>
              <w:br/>
              <w:t xml:space="preserve">    迁入地县级人民政府退役军人事务部门在收到上述材料和申请人提供的伤残证件后，逐级上报省级人民政府退役军人事务部门。省级人民政府退役军人事务部门在向迁出地省级人民政府退役军人事务部门核实无误后，在伤残证件变更栏内填写新的户籍地、重新编号，并加盖印章，逐级通过县级人民政府退役军人事务部门发还申请人。各级退役军人事务部门应当在20个工作日内完成本级需要办理的事项。</w:t>
            </w:r>
          </w:p>
        </w:tc>
        <w:tc>
          <w:tcPr>
            <w:tcW w:w="649"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spacing w:line="240" w:lineRule="exact"/>
              <w:rPr>
                <w:rFonts w:ascii="仿宋" w:eastAsia="仿宋" w:hAnsi="仿宋" w:cs="仿宋"/>
                <w:kern w:val="0"/>
                <w:sz w:val="18"/>
                <w:szCs w:val="18"/>
              </w:rPr>
            </w:pPr>
            <w:r>
              <w:rPr>
                <w:rFonts w:ascii="仿宋" w:eastAsia="仿宋" w:hAnsi="仿宋" w:cs="仿宋" w:hint="eastAsia"/>
                <w:kern w:val="0"/>
                <w:sz w:val="18"/>
                <w:szCs w:val="18"/>
              </w:rPr>
              <w:lastRenderedPageBreak/>
              <w:t>规范</w:t>
            </w:r>
          </w:p>
        </w:tc>
        <w:tc>
          <w:tcPr>
            <w:tcW w:w="4460" w:type="dxa"/>
            <w:tcBorders>
              <w:top w:val="single" w:sz="4" w:space="0" w:color="auto"/>
              <w:left w:val="nil"/>
              <w:bottom w:val="single" w:sz="4" w:space="0" w:color="auto"/>
              <w:right w:val="single" w:sz="4" w:space="0" w:color="auto"/>
            </w:tcBorders>
            <w:shd w:val="clear" w:color="auto" w:fill="auto"/>
            <w:vAlign w:val="center"/>
          </w:tcPr>
          <w:p w:rsidR="000F3CCA" w:rsidRDefault="00FD61B3">
            <w:pPr>
              <w:widowControl/>
              <w:spacing w:line="240" w:lineRule="exact"/>
              <w:textAlignment w:val="center"/>
              <w:rPr>
                <w:rFonts w:ascii="仿宋" w:eastAsia="仿宋" w:hAnsi="仿宋" w:cs="仿宋"/>
                <w:kern w:val="0"/>
                <w:sz w:val="18"/>
                <w:szCs w:val="18"/>
              </w:rPr>
            </w:pPr>
            <w:r>
              <w:rPr>
                <w:rFonts w:ascii="仿宋" w:eastAsia="仿宋" w:hAnsi="仿宋" w:cs="仿宋" w:hint="eastAsia"/>
                <w:kern w:val="0"/>
                <w:sz w:val="18"/>
                <w:szCs w:val="18"/>
              </w:rPr>
              <w:t xml:space="preserve">    新增第1条实施依据：《军人抚恤优待条例》（2004年8月1日中华人民共和国国务院、中华人民共和国中央军事委员会令第413号公布　根据2011年7月29日《国务院、中央军事委员会关于修改〈军人抚恤优待条例〉的决定》第一次修订　根据2019年3月2日《国务院关于修改部分行政法规的决定》第二次修订　2024年8月5日中华人民共和国国务院、中华人民共和国中央军事委员会令第788号第三次修订）</w:t>
            </w:r>
            <w:r>
              <w:rPr>
                <w:rFonts w:ascii="仿宋" w:eastAsia="仿宋" w:hAnsi="仿宋" w:cs="仿宋" w:hint="eastAsia"/>
                <w:kern w:val="0"/>
                <w:sz w:val="18"/>
                <w:szCs w:val="18"/>
              </w:rPr>
              <w:br/>
              <w:t xml:space="preserve">    第三十条　退出现役的残疾军人或者向政府移交的残疾军人，应当自军队办理退役手续或者移交手续后60日内，向户籍迁入地县级人民政府退役军人工作主管部门申请转入抚恤关系，按照残疾性质和等级享受残疾抚恤金。其退役或者向政府移交当年的残疾抚恤金由所在部队发给，迁入地县级人民政府退役军人工作主管部门从下一年起按照当地的标准发给。</w:t>
            </w:r>
          </w:p>
        </w:tc>
      </w:tr>
    </w:tbl>
    <w:p w:rsidR="000F3CCA" w:rsidRPr="007B6169" w:rsidRDefault="000F3CCA"/>
    <w:sectPr w:rsidR="000F3CCA" w:rsidRPr="007B6169" w:rsidSect="000F3CCA">
      <w:footerReference w:type="default" r:id="rId7"/>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EA8" w:rsidRDefault="00C76EA8" w:rsidP="000F3CCA">
      <w:r>
        <w:separator/>
      </w:r>
    </w:p>
  </w:endnote>
  <w:endnote w:type="continuationSeparator" w:id="1">
    <w:p w:rsidR="00C76EA8" w:rsidRDefault="00C76EA8" w:rsidP="000F3C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0887DCAC-6151-493D-91F7-D70A8ABCAE01}"/>
  </w:font>
  <w:font w:name="方正小标宋简体">
    <w:panose1 w:val="03000509000000000000"/>
    <w:charset w:val="86"/>
    <w:family w:val="script"/>
    <w:pitch w:val="fixed"/>
    <w:sig w:usb0="00000001" w:usb1="080E0000" w:usb2="00000010" w:usb3="00000000" w:csb0="00040000" w:csb1="00000000"/>
    <w:embedRegular r:id="rId2" w:subsetted="1" w:fontKey="{C2D223F8-3BB4-41EF-91EF-9BBF30E52D5C}"/>
  </w:font>
  <w:font w:name="黑体">
    <w:altName w:val="SimHei"/>
    <w:panose1 w:val="02010609060101010101"/>
    <w:charset w:val="86"/>
    <w:family w:val="modern"/>
    <w:pitch w:val="fixed"/>
    <w:sig w:usb0="800002BF" w:usb1="38CF7CFA" w:usb2="00000016" w:usb3="00000000" w:csb0="00040001" w:csb1="00000000"/>
    <w:embedRegular r:id="rId3" w:subsetted="1" w:fontKey="{A98DD0D5-F638-45DE-A632-954128A050A3}"/>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CCA" w:rsidRDefault="004B5CD5">
    <w:pPr>
      <w:pStyle w:val="a4"/>
    </w:pPr>
    <w:r>
      <w:pict>
        <v:shapetype id="_x0000_t202" coordsize="21600,21600" o:spt="202" path="m,l,21600r21600,l21600,xe">
          <v:stroke joinstyle="miter"/>
          <v:path gradientshapeok="t" o:connecttype="rect"/>
        </v:shapetype>
        <v:shape id="文本框 1" o:spid="_x0000_s1026" type="#_x0000_t202" style="position:absolute;margin-left:520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filled="f" stroked="f">
          <v:textbox style="mso-next-textbox:#文本框 1;mso-fit-shape-to-text:t" inset="0,0,0,0">
            <w:txbxContent>
              <w:p w:rsidR="000F3CCA" w:rsidRDefault="00FD61B3">
                <w:pPr>
                  <w:pStyle w:val="a4"/>
                  <w:rPr>
                    <w:rFonts w:ascii="宋体" w:eastAsia="宋体" w:hAnsi="宋体" w:cs="宋体"/>
                    <w:sz w:val="28"/>
                    <w:szCs w:val="28"/>
                  </w:rPr>
                </w:pPr>
                <w:r>
                  <w:rPr>
                    <w:rFonts w:ascii="宋体" w:eastAsia="宋体" w:hAnsi="宋体" w:cs="宋体" w:hint="eastAsia"/>
                    <w:sz w:val="28"/>
                    <w:szCs w:val="28"/>
                  </w:rPr>
                  <w:t xml:space="preserve">— </w:t>
                </w:r>
                <w:r w:rsidR="004B5CD5">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4B5CD5">
                  <w:rPr>
                    <w:rFonts w:ascii="宋体" w:eastAsia="宋体" w:hAnsi="宋体" w:cs="宋体" w:hint="eastAsia"/>
                    <w:sz w:val="28"/>
                    <w:szCs w:val="28"/>
                  </w:rPr>
                  <w:fldChar w:fldCharType="separate"/>
                </w:r>
                <w:r w:rsidR="007B6169">
                  <w:rPr>
                    <w:rFonts w:ascii="宋体" w:eastAsia="宋体" w:hAnsi="宋体" w:cs="宋体"/>
                    <w:noProof/>
                    <w:sz w:val="28"/>
                    <w:szCs w:val="28"/>
                  </w:rPr>
                  <w:t>3</w:t>
                </w:r>
                <w:r w:rsidR="004B5CD5">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EA8" w:rsidRDefault="00C76EA8" w:rsidP="000F3CCA">
      <w:r>
        <w:separator/>
      </w:r>
    </w:p>
  </w:footnote>
  <w:footnote w:type="continuationSeparator" w:id="1">
    <w:p w:rsidR="00C76EA8" w:rsidRDefault="00C76EA8" w:rsidP="000F3C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TrueTypeFonts/>
  <w:saveSubset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229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EF6315"/>
    <w:rsid w:val="00025EC6"/>
    <w:rsid w:val="00034BCD"/>
    <w:rsid w:val="0003767B"/>
    <w:rsid w:val="000541D9"/>
    <w:rsid w:val="00064B4F"/>
    <w:rsid w:val="000651DF"/>
    <w:rsid w:val="00077135"/>
    <w:rsid w:val="000818B3"/>
    <w:rsid w:val="00094C30"/>
    <w:rsid w:val="000A3868"/>
    <w:rsid w:val="000A42E2"/>
    <w:rsid w:val="000A6FE4"/>
    <w:rsid w:val="000C29B5"/>
    <w:rsid w:val="000C51BC"/>
    <w:rsid w:val="000C7AED"/>
    <w:rsid w:val="000D0CC1"/>
    <w:rsid w:val="000F3112"/>
    <w:rsid w:val="000F3CCA"/>
    <w:rsid w:val="00100C73"/>
    <w:rsid w:val="00104040"/>
    <w:rsid w:val="00112F89"/>
    <w:rsid w:val="00114227"/>
    <w:rsid w:val="001150D4"/>
    <w:rsid w:val="00124840"/>
    <w:rsid w:val="001349E6"/>
    <w:rsid w:val="00134FF2"/>
    <w:rsid w:val="001362A0"/>
    <w:rsid w:val="001368C6"/>
    <w:rsid w:val="00141380"/>
    <w:rsid w:val="00150062"/>
    <w:rsid w:val="00152308"/>
    <w:rsid w:val="00154EF8"/>
    <w:rsid w:val="001570FF"/>
    <w:rsid w:val="001613B6"/>
    <w:rsid w:val="00190833"/>
    <w:rsid w:val="001A53A8"/>
    <w:rsid w:val="001A6E93"/>
    <w:rsid w:val="001B4FB6"/>
    <w:rsid w:val="001C241E"/>
    <w:rsid w:val="001C5D51"/>
    <w:rsid w:val="001D2D88"/>
    <w:rsid w:val="001D5827"/>
    <w:rsid w:val="002045A7"/>
    <w:rsid w:val="0021180A"/>
    <w:rsid w:val="00221080"/>
    <w:rsid w:val="00221268"/>
    <w:rsid w:val="00221612"/>
    <w:rsid w:val="002674B0"/>
    <w:rsid w:val="0027213C"/>
    <w:rsid w:val="002765C1"/>
    <w:rsid w:val="00284CC5"/>
    <w:rsid w:val="00295C29"/>
    <w:rsid w:val="002B6574"/>
    <w:rsid w:val="002F5EAB"/>
    <w:rsid w:val="00303C74"/>
    <w:rsid w:val="00303DF4"/>
    <w:rsid w:val="00314AE5"/>
    <w:rsid w:val="003214DB"/>
    <w:rsid w:val="003230B3"/>
    <w:rsid w:val="0033275C"/>
    <w:rsid w:val="00355DA9"/>
    <w:rsid w:val="00372792"/>
    <w:rsid w:val="00373D6D"/>
    <w:rsid w:val="00374FF4"/>
    <w:rsid w:val="00382948"/>
    <w:rsid w:val="00386185"/>
    <w:rsid w:val="0038695A"/>
    <w:rsid w:val="003A6639"/>
    <w:rsid w:val="003C1D7B"/>
    <w:rsid w:val="003C330A"/>
    <w:rsid w:val="003C3BBE"/>
    <w:rsid w:val="003E0948"/>
    <w:rsid w:val="003F7622"/>
    <w:rsid w:val="0040108E"/>
    <w:rsid w:val="00401B4F"/>
    <w:rsid w:val="0040466C"/>
    <w:rsid w:val="00407F51"/>
    <w:rsid w:val="00410792"/>
    <w:rsid w:val="0041792A"/>
    <w:rsid w:val="004252B8"/>
    <w:rsid w:val="00425C1E"/>
    <w:rsid w:val="00440397"/>
    <w:rsid w:val="00444E99"/>
    <w:rsid w:val="004500F7"/>
    <w:rsid w:val="00472648"/>
    <w:rsid w:val="0048172C"/>
    <w:rsid w:val="00486FEB"/>
    <w:rsid w:val="00495517"/>
    <w:rsid w:val="004B19A9"/>
    <w:rsid w:val="004B21ED"/>
    <w:rsid w:val="004B5CD5"/>
    <w:rsid w:val="004B6CCD"/>
    <w:rsid w:val="004C3078"/>
    <w:rsid w:val="004E0694"/>
    <w:rsid w:val="005049FC"/>
    <w:rsid w:val="00506B7B"/>
    <w:rsid w:val="00506FCB"/>
    <w:rsid w:val="00526293"/>
    <w:rsid w:val="00531524"/>
    <w:rsid w:val="005570E8"/>
    <w:rsid w:val="00562A56"/>
    <w:rsid w:val="00567828"/>
    <w:rsid w:val="0057092B"/>
    <w:rsid w:val="005778C1"/>
    <w:rsid w:val="0058498C"/>
    <w:rsid w:val="005873C4"/>
    <w:rsid w:val="00591032"/>
    <w:rsid w:val="00596888"/>
    <w:rsid w:val="005B348A"/>
    <w:rsid w:val="005C51D4"/>
    <w:rsid w:val="005C7080"/>
    <w:rsid w:val="005D1F89"/>
    <w:rsid w:val="005D38B3"/>
    <w:rsid w:val="005D4485"/>
    <w:rsid w:val="006009AA"/>
    <w:rsid w:val="0060634D"/>
    <w:rsid w:val="006178F5"/>
    <w:rsid w:val="00646989"/>
    <w:rsid w:val="00660BC8"/>
    <w:rsid w:val="006657D7"/>
    <w:rsid w:val="00695900"/>
    <w:rsid w:val="0069714B"/>
    <w:rsid w:val="006A3918"/>
    <w:rsid w:val="006A3F15"/>
    <w:rsid w:val="006A5CC4"/>
    <w:rsid w:val="006D1EF0"/>
    <w:rsid w:val="006E1984"/>
    <w:rsid w:val="006E7081"/>
    <w:rsid w:val="006F0FAD"/>
    <w:rsid w:val="007133AA"/>
    <w:rsid w:val="00741F2E"/>
    <w:rsid w:val="007502AE"/>
    <w:rsid w:val="00754325"/>
    <w:rsid w:val="00762CC5"/>
    <w:rsid w:val="00767EEF"/>
    <w:rsid w:val="007731F7"/>
    <w:rsid w:val="0078203F"/>
    <w:rsid w:val="00783F9B"/>
    <w:rsid w:val="00787BA9"/>
    <w:rsid w:val="00790B99"/>
    <w:rsid w:val="00797B70"/>
    <w:rsid w:val="007A7469"/>
    <w:rsid w:val="007B6169"/>
    <w:rsid w:val="007E4E26"/>
    <w:rsid w:val="007E69F8"/>
    <w:rsid w:val="0080501C"/>
    <w:rsid w:val="00811BBE"/>
    <w:rsid w:val="00814812"/>
    <w:rsid w:val="008155F0"/>
    <w:rsid w:val="00816E49"/>
    <w:rsid w:val="00817296"/>
    <w:rsid w:val="00824526"/>
    <w:rsid w:val="00826FB6"/>
    <w:rsid w:val="00827DFC"/>
    <w:rsid w:val="00835CB4"/>
    <w:rsid w:val="00842A7F"/>
    <w:rsid w:val="00853556"/>
    <w:rsid w:val="0085416A"/>
    <w:rsid w:val="0085573A"/>
    <w:rsid w:val="00871AC3"/>
    <w:rsid w:val="0088195F"/>
    <w:rsid w:val="008821DC"/>
    <w:rsid w:val="00891B46"/>
    <w:rsid w:val="0089209B"/>
    <w:rsid w:val="008A1597"/>
    <w:rsid w:val="008A21E8"/>
    <w:rsid w:val="008B0B1A"/>
    <w:rsid w:val="008C1414"/>
    <w:rsid w:val="008C21C7"/>
    <w:rsid w:val="008C71B6"/>
    <w:rsid w:val="008D39C4"/>
    <w:rsid w:val="008D503E"/>
    <w:rsid w:val="008E1DD5"/>
    <w:rsid w:val="008E5DF1"/>
    <w:rsid w:val="008F3E59"/>
    <w:rsid w:val="008F49F4"/>
    <w:rsid w:val="0090245E"/>
    <w:rsid w:val="00927215"/>
    <w:rsid w:val="009518F8"/>
    <w:rsid w:val="00963DC9"/>
    <w:rsid w:val="00996CC9"/>
    <w:rsid w:val="00A14097"/>
    <w:rsid w:val="00A14869"/>
    <w:rsid w:val="00A14B5E"/>
    <w:rsid w:val="00A22D1D"/>
    <w:rsid w:val="00A25A27"/>
    <w:rsid w:val="00A2772D"/>
    <w:rsid w:val="00A46C47"/>
    <w:rsid w:val="00A7692A"/>
    <w:rsid w:val="00A84FF3"/>
    <w:rsid w:val="00A9729C"/>
    <w:rsid w:val="00AC4E68"/>
    <w:rsid w:val="00AD7BBF"/>
    <w:rsid w:val="00AE3C0D"/>
    <w:rsid w:val="00AE67A3"/>
    <w:rsid w:val="00B0697D"/>
    <w:rsid w:val="00B10B0E"/>
    <w:rsid w:val="00B13A36"/>
    <w:rsid w:val="00B16D4A"/>
    <w:rsid w:val="00B32886"/>
    <w:rsid w:val="00B3672C"/>
    <w:rsid w:val="00B60988"/>
    <w:rsid w:val="00B633AB"/>
    <w:rsid w:val="00B77048"/>
    <w:rsid w:val="00B843F8"/>
    <w:rsid w:val="00BB46E3"/>
    <w:rsid w:val="00BB5FA2"/>
    <w:rsid w:val="00BC4296"/>
    <w:rsid w:val="00BE521F"/>
    <w:rsid w:val="00BF7670"/>
    <w:rsid w:val="00BF7738"/>
    <w:rsid w:val="00C03641"/>
    <w:rsid w:val="00C1350E"/>
    <w:rsid w:val="00C13D5C"/>
    <w:rsid w:val="00C15D2D"/>
    <w:rsid w:val="00C3179B"/>
    <w:rsid w:val="00C42C78"/>
    <w:rsid w:val="00C42DA9"/>
    <w:rsid w:val="00C47E1A"/>
    <w:rsid w:val="00C51A76"/>
    <w:rsid w:val="00C5241A"/>
    <w:rsid w:val="00C722E5"/>
    <w:rsid w:val="00C72909"/>
    <w:rsid w:val="00C74472"/>
    <w:rsid w:val="00C76EA8"/>
    <w:rsid w:val="00C77D8A"/>
    <w:rsid w:val="00C809C2"/>
    <w:rsid w:val="00C83873"/>
    <w:rsid w:val="00C900D3"/>
    <w:rsid w:val="00C90339"/>
    <w:rsid w:val="00C90DFF"/>
    <w:rsid w:val="00CB0755"/>
    <w:rsid w:val="00CC66B9"/>
    <w:rsid w:val="00CD4A0C"/>
    <w:rsid w:val="00CD5122"/>
    <w:rsid w:val="00CE56EE"/>
    <w:rsid w:val="00CE674D"/>
    <w:rsid w:val="00CE6976"/>
    <w:rsid w:val="00CF0FF5"/>
    <w:rsid w:val="00CF4676"/>
    <w:rsid w:val="00CF660C"/>
    <w:rsid w:val="00D02681"/>
    <w:rsid w:val="00D03E8C"/>
    <w:rsid w:val="00D049B2"/>
    <w:rsid w:val="00D04A1C"/>
    <w:rsid w:val="00D120FE"/>
    <w:rsid w:val="00D24C06"/>
    <w:rsid w:val="00D33532"/>
    <w:rsid w:val="00D33A21"/>
    <w:rsid w:val="00D35745"/>
    <w:rsid w:val="00D41CDE"/>
    <w:rsid w:val="00D53A93"/>
    <w:rsid w:val="00D54315"/>
    <w:rsid w:val="00D56832"/>
    <w:rsid w:val="00D94200"/>
    <w:rsid w:val="00DA6942"/>
    <w:rsid w:val="00DB2ADA"/>
    <w:rsid w:val="00DC3B58"/>
    <w:rsid w:val="00DD04E6"/>
    <w:rsid w:val="00DD1855"/>
    <w:rsid w:val="00DF2C85"/>
    <w:rsid w:val="00DF7A64"/>
    <w:rsid w:val="00E034F9"/>
    <w:rsid w:val="00E040A6"/>
    <w:rsid w:val="00E1585F"/>
    <w:rsid w:val="00E20BE3"/>
    <w:rsid w:val="00E47088"/>
    <w:rsid w:val="00E54739"/>
    <w:rsid w:val="00E55703"/>
    <w:rsid w:val="00E5724B"/>
    <w:rsid w:val="00E60AC9"/>
    <w:rsid w:val="00E67C36"/>
    <w:rsid w:val="00E93138"/>
    <w:rsid w:val="00E97AF6"/>
    <w:rsid w:val="00EA283F"/>
    <w:rsid w:val="00ED5337"/>
    <w:rsid w:val="00EE4CA7"/>
    <w:rsid w:val="00EF6315"/>
    <w:rsid w:val="00F012BF"/>
    <w:rsid w:val="00F03CA0"/>
    <w:rsid w:val="00F05744"/>
    <w:rsid w:val="00F105ED"/>
    <w:rsid w:val="00F10CAD"/>
    <w:rsid w:val="00F1154D"/>
    <w:rsid w:val="00F12C84"/>
    <w:rsid w:val="00F148CB"/>
    <w:rsid w:val="00F25141"/>
    <w:rsid w:val="00F43526"/>
    <w:rsid w:val="00F534AD"/>
    <w:rsid w:val="00F723E2"/>
    <w:rsid w:val="00F72633"/>
    <w:rsid w:val="00F7399A"/>
    <w:rsid w:val="00F959BE"/>
    <w:rsid w:val="00F96001"/>
    <w:rsid w:val="00FA2387"/>
    <w:rsid w:val="00FB2B30"/>
    <w:rsid w:val="00FC193C"/>
    <w:rsid w:val="00FD61B3"/>
    <w:rsid w:val="00FD76D2"/>
    <w:rsid w:val="00FF2951"/>
    <w:rsid w:val="01DF79C5"/>
    <w:rsid w:val="026825AB"/>
    <w:rsid w:val="098A46BA"/>
    <w:rsid w:val="0C5E587B"/>
    <w:rsid w:val="106E6E81"/>
    <w:rsid w:val="14556569"/>
    <w:rsid w:val="18A40BC9"/>
    <w:rsid w:val="1D7C0366"/>
    <w:rsid w:val="1F2C20FC"/>
    <w:rsid w:val="1FD75D28"/>
    <w:rsid w:val="2A6B4A25"/>
    <w:rsid w:val="37900C7E"/>
    <w:rsid w:val="3F23643C"/>
    <w:rsid w:val="409163A5"/>
    <w:rsid w:val="4AB75C3F"/>
    <w:rsid w:val="53804CDB"/>
    <w:rsid w:val="5D303375"/>
    <w:rsid w:val="68EA5F35"/>
    <w:rsid w:val="75DC192C"/>
    <w:rsid w:val="77851778"/>
    <w:rsid w:val="782C62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CC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0F3CCA"/>
    <w:pPr>
      <w:jc w:val="center"/>
    </w:pPr>
    <w:rPr>
      <w:rFonts w:ascii="Times New Roman" w:eastAsia="宋体" w:hAnsi="Times New Roman" w:cs="Times New Roman"/>
      <w:b/>
      <w:bCs/>
      <w:sz w:val="44"/>
      <w:szCs w:val="24"/>
    </w:rPr>
  </w:style>
  <w:style w:type="paragraph" w:styleId="a4">
    <w:name w:val="footer"/>
    <w:basedOn w:val="a"/>
    <w:link w:val="Char"/>
    <w:uiPriority w:val="99"/>
    <w:semiHidden/>
    <w:unhideWhenUsed/>
    <w:qFormat/>
    <w:rsid w:val="000F3CCA"/>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0F3CC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rsid w:val="000F3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Char0">
    <w:name w:val="页眉 Char"/>
    <w:basedOn w:val="a0"/>
    <w:link w:val="a5"/>
    <w:uiPriority w:val="99"/>
    <w:semiHidden/>
    <w:qFormat/>
    <w:rsid w:val="000F3CCA"/>
    <w:rPr>
      <w:sz w:val="18"/>
      <w:szCs w:val="18"/>
    </w:rPr>
  </w:style>
  <w:style w:type="character" w:customStyle="1" w:styleId="Char">
    <w:name w:val="页脚 Char"/>
    <w:basedOn w:val="a0"/>
    <w:link w:val="a4"/>
    <w:uiPriority w:val="99"/>
    <w:semiHidden/>
    <w:qFormat/>
    <w:rsid w:val="000F3CCA"/>
    <w:rPr>
      <w:sz w:val="18"/>
      <w:szCs w:val="18"/>
    </w:rPr>
  </w:style>
  <w:style w:type="character" w:customStyle="1" w:styleId="font21">
    <w:name w:val="font21"/>
    <w:basedOn w:val="a0"/>
    <w:qFormat/>
    <w:rsid w:val="000F3CCA"/>
    <w:rPr>
      <w:rFonts w:ascii="仿宋" w:eastAsia="仿宋" w:hAnsi="仿宋" w:cs="仿宋" w:hint="eastAsia"/>
      <w:color w:val="000000"/>
      <w:sz w:val="20"/>
      <w:szCs w:val="20"/>
      <w:u w:val="none"/>
    </w:rPr>
  </w:style>
  <w:style w:type="character" w:customStyle="1" w:styleId="font11">
    <w:name w:val="font11"/>
    <w:basedOn w:val="a0"/>
    <w:qFormat/>
    <w:rsid w:val="000F3CCA"/>
    <w:rPr>
      <w:rFonts w:ascii="仿宋" w:eastAsia="仿宋" w:hAnsi="仿宋" w:cs="仿宋" w:hint="eastAsia"/>
      <w:color w:val="FF0000"/>
      <w:sz w:val="20"/>
      <w:szCs w:val="20"/>
      <w:u w:val="none"/>
    </w:rPr>
  </w:style>
  <w:style w:type="character" w:customStyle="1" w:styleId="font31">
    <w:name w:val="font31"/>
    <w:basedOn w:val="a0"/>
    <w:qFormat/>
    <w:rsid w:val="000F3CCA"/>
    <w:rPr>
      <w:rFonts w:ascii="仿宋" w:eastAsia="仿宋" w:hAnsi="仿宋" w:cs="仿宋"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823</Words>
  <Characters>4697</Characters>
  <Application>Microsoft Office Word</Application>
  <DocSecurity>0</DocSecurity>
  <Lines>39</Lines>
  <Paragraphs>11</Paragraphs>
  <ScaleCrop>false</ScaleCrop>
  <Company>Micorosoft</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王雨沐</dc:creator>
  <cp:lastModifiedBy>hp</cp:lastModifiedBy>
  <cp:revision>19</cp:revision>
  <cp:lastPrinted>2025-05-08T02:11:00Z</cp:lastPrinted>
  <dcterms:created xsi:type="dcterms:W3CDTF">2021-10-15T01:03:00Z</dcterms:created>
  <dcterms:modified xsi:type="dcterms:W3CDTF">2025-06-20T00:05:00Z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eyJoZGlkIjoiZDA4MDdiZDVkM2U4MjdjYjc2MGVkYmEzNmIwZDEzMzkifQ==</vt:lpwstr>
  </property>
  <property fmtid="{D5CDD505-2E9C-101B-9397-08002B2CF9AE}" pid="3" name="KSOProductBuildVer">
    <vt:lpwstr>2052-12.1.0.20784</vt:lpwstr>
  </property>
  <property fmtid="{D5CDD505-2E9C-101B-9397-08002B2CF9AE}" pid="4" name="ICV">
    <vt:lpwstr>CBDAC610BFA349409CF61167F9903320_13</vt:lpwstr>
  </property>
</Properties>
</file>