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B" w:rsidRDefault="00792B67">
      <w:pPr>
        <w:widowControl/>
        <w:jc w:val="distribute"/>
        <w:rPr>
          <w:rFonts w:ascii="宋体" w:hAnsi="宋体" w:cs="宋体"/>
          <w:b/>
          <w:color w:val="FF0000"/>
          <w:spacing w:val="-60"/>
          <w:w w:val="50"/>
          <w:kern w:val="0"/>
          <w:sz w:val="150"/>
          <w:szCs w:val="150"/>
        </w:rPr>
      </w:pPr>
      <w:r>
        <w:rPr>
          <w:rFonts w:ascii="宋体" w:hAnsi="宋体" w:cs="宋体" w:hint="eastAsia"/>
          <w:b/>
          <w:color w:val="FF0000"/>
          <w:spacing w:val="-60"/>
          <w:w w:val="50"/>
          <w:kern w:val="0"/>
          <w:sz w:val="150"/>
          <w:szCs w:val="150"/>
        </w:rPr>
        <w:t>祁门县农业农村水利局文件</w:t>
      </w:r>
    </w:p>
    <w:p w:rsidR="00F5364B" w:rsidRDefault="00F5364B">
      <w:pPr>
        <w:adjustRightInd w:val="0"/>
        <w:snapToGrid w:val="0"/>
        <w:spacing w:line="540" w:lineRule="exact"/>
        <w:rPr>
          <w:rFonts w:eastAsia="仿宋_GB2312"/>
          <w:snapToGrid w:val="0"/>
          <w:color w:val="000000"/>
          <w:kern w:val="0"/>
          <w:sz w:val="30"/>
          <w:szCs w:val="32"/>
        </w:rPr>
      </w:pPr>
    </w:p>
    <w:p w:rsidR="00F5364B" w:rsidRDefault="00792B67">
      <w:pPr>
        <w:spacing w:line="540" w:lineRule="exact"/>
        <w:jc w:val="center"/>
        <w:rPr>
          <w:rFonts w:ascii="楷体" w:eastAsia="楷体" w:hAnsi="楷体"/>
          <w:snapToGrid w:val="0"/>
          <w:color w:val="000000"/>
          <w:kern w:val="0"/>
          <w:sz w:val="30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祁农水〔</w:t>
      </w:r>
      <w:r>
        <w:rPr>
          <w:rFonts w:ascii="楷体" w:eastAsia="楷体" w:hAnsi="楷体" w:hint="eastAsia"/>
          <w:sz w:val="32"/>
          <w:szCs w:val="32"/>
        </w:rPr>
        <w:t>202</w:t>
      </w:r>
      <w:r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〕</w:t>
      </w:r>
      <w:r>
        <w:rPr>
          <w:rFonts w:ascii="楷体" w:eastAsia="楷体" w:hAnsi="楷体" w:hint="eastAsia"/>
          <w:sz w:val="32"/>
          <w:szCs w:val="32"/>
        </w:rPr>
        <w:t>109</w:t>
      </w:r>
      <w:r>
        <w:rPr>
          <w:rFonts w:ascii="楷体" w:eastAsia="楷体" w:hAnsi="楷体" w:hint="eastAsia"/>
          <w:sz w:val="32"/>
          <w:szCs w:val="32"/>
        </w:rPr>
        <w:t>号</w:t>
      </w:r>
    </w:p>
    <w:p w:rsidR="00F5364B" w:rsidRDefault="00F5364B">
      <w:pPr>
        <w:adjustRightInd w:val="0"/>
        <w:snapToGrid w:val="0"/>
        <w:spacing w:line="540" w:lineRule="exact"/>
        <w:rPr>
          <w:rFonts w:eastAsia="仿宋_GB2312"/>
          <w:snapToGrid w:val="0"/>
          <w:color w:val="000000"/>
          <w:kern w:val="0"/>
          <w:sz w:val="30"/>
          <w:szCs w:val="32"/>
        </w:rPr>
      </w:pPr>
      <w:r w:rsidRPr="00F5364B">
        <w:pict>
          <v:line id="_x0000_s2050" style="position:absolute;left:0;text-align:left;z-index:251659264;mso-width-relative:page;mso-height-relative:page" from="-5.25pt,13.45pt" to="459.1pt,13.45pt" strokecolor="red" strokeweight="3pt"/>
        </w:pict>
      </w:r>
    </w:p>
    <w:p w:rsidR="00F5364B" w:rsidRDefault="00792B67">
      <w:pPr>
        <w:spacing w:line="7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关于印发祁门县</w:t>
      </w:r>
      <w:r>
        <w:rPr>
          <w:rFonts w:asciiTheme="majorEastAsia" w:eastAsiaTheme="majorEastAsia" w:hAnsiTheme="majorEastAsia" w:hint="eastAsia"/>
          <w:sz w:val="44"/>
          <w:szCs w:val="44"/>
        </w:rPr>
        <w:t>2021</w:t>
      </w:r>
      <w:r>
        <w:rPr>
          <w:rFonts w:asciiTheme="majorEastAsia" w:eastAsiaTheme="majorEastAsia" w:hAnsiTheme="majorEastAsia" w:hint="eastAsia"/>
          <w:sz w:val="44"/>
          <w:szCs w:val="44"/>
        </w:rPr>
        <w:t>年农业生产和水利救灾资金（第三批）使用实施方案的通知</w:t>
      </w:r>
    </w:p>
    <w:p w:rsidR="00F5364B" w:rsidRDefault="00F5364B">
      <w:pPr>
        <w:pStyle w:val="p0"/>
        <w:snapToGrid w:val="0"/>
        <w:spacing w:before="0" w:beforeAutospacing="0" w:after="0" w:afterAutospacing="0" w:line="400" w:lineRule="exact"/>
        <w:jc w:val="center"/>
        <w:rPr>
          <w:rFonts w:ascii="仿宋_GB2312" w:eastAsia="仿宋_GB2312" w:hAnsi="Verdana"/>
          <w:sz w:val="32"/>
          <w:szCs w:val="32"/>
        </w:rPr>
      </w:pP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bookmarkStart w:id="0" w:name="OLE_LINK1"/>
      <w:r>
        <w:rPr>
          <w:rFonts w:ascii="仿宋" w:eastAsia="仿宋" w:hAnsi="仿宋" w:hint="eastAsia"/>
          <w:sz w:val="32"/>
          <w:szCs w:val="32"/>
        </w:rPr>
        <w:t>各乡、镇人民政府：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</w:t>
      </w:r>
      <w:r>
        <w:rPr>
          <w:rFonts w:ascii="仿宋" w:eastAsia="仿宋" w:hAnsi="仿宋"/>
          <w:sz w:val="32"/>
          <w:szCs w:val="32"/>
        </w:rPr>
        <w:t>安徽省财政厅关于</w:t>
      </w:r>
      <w:r>
        <w:rPr>
          <w:rFonts w:ascii="仿宋" w:eastAsia="仿宋" w:hAnsi="仿宋" w:hint="eastAsia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中央财政农业生产和水利救灾资金</w:t>
      </w:r>
      <w:r>
        <w:rPr>
          <w:rFonts w:ascii="仿宋" w:eastAsia="仿宋" w:hAnsi="仿宋" w:hint="eastAsia"/>
          <w:sz w:val="32"/>
          <w:szCs w:val="32"/>
        </w:rPr>
        <w:t>预算（第三批）</w:t>
      </w:r>
      <w:r>
        <w:rPr>
          <w:rFonts w:ascii="仿宋" w:eastAsia="仿宋" w:hAnsi="仿宋"/>
          <w:sz w:val="32"/>
          <w:szCs w:val="32"/>
        </w:rPr>
        <w:t>的通知</w:t>
      </w:r>
      <w:r>
        <w:rPr>
          <w:rFonts w:ascii="仿宋" w:eastAsia="仿宋" w:hAnsi="仿宋" w:hint="eastAsia"/>
          <w:sz w:val="32"/>
          <w:szCs w:val="32"/>
        </w:rPr>
        <w:t>》（皖财农〔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903</w:t>
      </w:r>
      <w:r>
        <w:rPr>
          <w:rFonts w:ascii="仿宋" w:eastAsia="仿宋" w:hAnsi="仿宋" w:hint="eastAsia"/>
          <w:sz w:val="32"/>
          <w:szCs w:val="32"/>
        </w:rPr>
        <w:t>号）文件，中央财政安排我县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年农业生产救灾资金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万元，用于支持秋粮重大病虫害防控和支持秋粮促早熟保丰收，重发区域病虫疫情得到有效控制，不出现大面积绝收成灾，有力保障粮食安全和农业丰收。为规范使用该资金，遵照《财政部农业农村部</w:t>
      </w:r>
      <w:r>
        <w:rPr>
          <w:rFonts w:ascii="仿宋" w:eastAsia="仿宋" w:hAnsi="仿宋" w:hint="eastAsia"/>
          <w:sz w:val="32"/>
          <w:szCs w:val="32"/>
        </w:rPr>
        <w:t>水利部关于印发农业生产和水利救灾资金管理办法的通知》（财农〔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117</w:t>
      </w:r>
      <w:r>
        <w:rPr>
          <w:rFonts w:ascii="仿宋" w:eastAsia="仿宋" w:hAnsi="仿宋" w:hint="eastAsia"/>
          <w:sz w:val="32"/>
          <w:szCs w:val="32"/>
        </w:rPr>
        <w:t>号）和皖农植函〔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920</w:t>
      </w:r>
      <w:r>
        <w:rPr>
          <w:rFonts w:ascii="仿宋" w:eastAsia="仿宋" w:hAnsi="仿宋" w:hint="eastAsia"/>
          <w:sz w:val="32"/>
          <w:szCs w:val="32"/>
        </w:rPr>
        <w:t>号文件要求，结合我县农业生产实际情况，制定以下实施方案。现印发给你们，请结合本地实际，做好宣传，认真落实。</w:t>
      </w:r>
    </w:p>
    <w:p w:rsidR="00F5364B" w:rsidRDefault="00F5364B">
      <w:pPr>
        <w:pStyle w:val="p0"/>
        <w:snapToGrid w:val="0"/>
        <w:spacing w:before="0" w:beforeAutospacing="0" w:after="0" w:afterAutospacing="0"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1600" w:firstLine="5120"/>
        <w:rPr>
          <w:rFonts w:asciiTheme="minorEastAsia" w:hAnsiTheme="minorEastAsia"/>
          <w:sz w:val="44"/>
          <w:szCs w:val="44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5364B" w:rsidRDefault="00792B67">
      <w:pPr>
        <w:spacing w:line="560" w:lineRule="exact"/>
        <w:ind w:leftChars="21" w:left="44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祁门县</w:t>
      </w:r>
      <w:r>
        <w:rPr>
          <w:rFonts w:asciiTheme="majorEastAsia" w:eastAsiaTheme="majorEastAsia" w:hAnsiTheme="majorEastAsia" w:hint="eastAsia"/>
          <w:sz w:val="44"/>
          <w:szCs w:val="44"/>
        </w:rPr>
        <w:t>2021</w:t>
      </w:r>
      <w:r>
        <w:rPr>
          <w:rFonts w:asciiTheme="majorEastAsia" w:eastAsiaTheme="majorEastAsia" w:hAnsiTheme="majorEastAsia" w:hint="eastAsia"/>
          <w:sz w:val="44"/>
          <w:szCs w:val="44"/>
        </w:rPr>
        <w:t>年农业生产和水利救灾</w:t>
      </w:r>
    </w:p>
    <w:p w:rsidR="00F5364B" w:rsidRDefault="00792B67">
      <w:pPr>
        <w:spacing w:line="560" w:lineRule="exact"/>
        <w:ind w:leftChars="21" w:left="44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资金（第三批）使用实施方案</w:t>
      </w:r>
    </w:p>
    <w:p w:rsidR="00F5364B" w:rsidRDefault="00F5364B">
      <w:pPr>
        <w:spacing w:line="560" w:lineRule="exact"/>
        <w:rPr>
          <w:szCs w:val="21"/>
        </w:rPr>
      </w:pP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一、指导思想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树立和坚持“预防为主、综合防治”</w:t>
      </w:r>
      <w:bookmarkStart w:id="1" w:name="_GoBack"/>
      <w:bookmarkEnd w:id="1"/>
      <w:r>
        <w:rPr>
          <w:rFonts w:ascii="仿宋" w:eastAsia="仿宋" w:hAnsi="仿宋" w:hint="eastAsia"/>
          <w:sz w:val="32"/>
          <w:szCs w:val="32"/>
        </w:rPr>
        <w:t>的植保方针，贯彻落实“科学植保、公共植保、绿色植保”的理念，通过实施应急防控、统防统治和绿色防控，提升水稻重大病虫害、草地贪夜蛾应急防控能力和科学防治水平，控制化学农药使用量，减少因重大病虫危害造成的农作物损失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二、任务目标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 xml:space="preserve"> 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Verdan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支持秋粮重大病虫害防控面积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万亩次；支持秋粮促早熟保丰收</w:t>
      </w:r>
      <w:r>
        <w:rPr>
          <w:rFonts w:ascii="仿宋" w:eastAsia="仿宋" w:hAnsi="仿宋" w:hint="eastAsia"/>
          <w:sz w:val="32"/>
          <w:szCs w:val="32"/>
        </w:rPr>
        <w:t>0.8</w:t>
      </w:r>
      <w:r>
        <w:rPr>
          <w:rFonts w:ascii="仿宋" w:eastAsia="仿宋" w:hAnsi="仿宋" w:hint="eastAsia"/>
          <w:sz w:val="32"/>
          <w:szCs w:val="32"/>
        </w:rPr>
        <w:t>万亩。重发区域病虫疫情得到有效控制，不出现大面积绝收成灾，有力保障粮食安全和农业丰收。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三、建设内容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 xml:space="preserve"> 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（一）抓好水稻重大病虫害绿色防控示范。</w:t>
      </w:r>
      <w:r>
        <w:rPr>
          <w:rFonts w:ascii="仿宋" w:eastAsia="仿宋" w:hAnsi="仿宋" w:hint="eastAsia"/>
          <w:sz w:val="32"/>
          <w:szCs w:val="32"/>
        </w:rPr>
        <w:t>做好水稻重大病虫害防控宣传，具体措施为召开防控现场会、印发技术明白纸、提供技术</w:t>
      </w:r>
      <w:r>
        <w:rPr>
          <w:rFonts w:ascii="仿宋" w:eastAsia="仿宋" w:hAnsi="仿宋" w:hint="eastAsia"/>
          <w:sz w:val="32"/>
          <w:szCs w:val="32"/>
        </w:rPr>
        <w:t>指导服务等；联合水稻种植大户（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亩以上），建立重大病虫害绿色防控示范区，在祁山镇、安凌镇等乡镇建立水稻病虫害统防统治示范片。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（二）抓好秋粮作物促早熟保丰收。</w:t>
      </w:r>
      <w:r>
        <w:rPr>
          <w:rFonts w:ascii="仿宋" w:eastAsia="仿宋" w:hAnsi="仿宋" w:hint="eastAsia"/>
          <w:sz w:val="32"/>
          <w:szCs w:val="32"/>
        </w:rPr>
        <w:t>我县秋粮作物主要是水稻，结合水稻种植情况，采购一批植物生长调节剂，用于粮食作物促早熟保丰收。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Verdana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（三）抓好重大病虫防治技术培训与宣传。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县植保站要加大粮食作物重大病虫害防控的知识培训，充分利用网络媒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体、报纸电视、现场培训会、技术明白纸等途径，让基层农技人员、专业防治组织和广大农户充分了解粮食作物重大病虫的形态特征、危害习性、发生规律、防控技术等，掌握科学防控的方法。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四、资金安排</w:t>
      </w:r>
    </w:p>
    <w:p w:rsidR="00F5364B" w:rsidRDefault="00792B67">
      <w:pPr>
        <w:widowControl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按照《农业生产和水利救灾资金管理办法》规定，专项资金主要用于：生物灾害救灾及恢复农业生产所需的物资材料及服务补助，包括购买药剂、药械、燃油等，应用生物防治、综合防治、生态调控技术，修复诱虫灯等监控设施器械及调运、检疫处理、技术指导培训等费用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、采购水稻重大病虫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防治药剂。</w:t>
      </w:r>
      <w:r>
        <w:rPr>
          <w:rFonts w:ascii="仿宋" w:eastAsia="仿宋" w:hAnsi="仿宋" w:hint="eastAsia"/>
          <w:sz w:val="32"/>
          <w:szCs w:val="32"/>
        </w:rPr>
        <w:t>按照黄山市农药集中配送工作有关要求，采购开展防治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万亩次</w:t>
      </w:r>
      <w:r>
        <w:rPr>
          <w:rFonts w:ascii="仿宋" w:eastAsia="仿宋" w:hAnsi="仿宋" w:hint="eastAsia"/>
          <w:sz w:val="32"/>
          <w:szCs w:val="32"/>
        </w:rPr>
        <w:t>水稻重大病虫的生物农药，分乡镇发给种植面积</w:t>
      </w:r>
      <w:r>
        <w:rPr>
          <w:rFonts w:ascii="仿宋" w:eastAsia="仿宋" w:hAnsi="仿宋" w:hint="eastAsia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亩以上的水稻种植大户、新型农业经营主体。具体发放数量根据各乡镇申报、县农水局核实的防治任务提出意见，财政部门监督执行。安排资金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、采购植物生长调节剂。</w:t>
      </w:r>
      <w:r>
        <w:rPr>
          <w:rFonts w:ascii="仿宋" w:eastAsia="仿宋" w:hAnsi="仿宋" w:hint="eastAsia"/>
          <w:sz w:val="32"/>
          <w:szCs w:val="32"/>
        </w:rPr>
        <w:t>购买植物生长调节剂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万包，用于支持粮食作物促早熟保丰收，结合水稻重大病虫害防治药剂一同发放。安排资金</w:t>
      </w:r>
      <w:r>
        <w:rPr>
          <w:rFonts w:ascii="仿宋" w:eastAsia="仿宋" w:hAnsi="仿宋" w:hint="eastAsia"/>
          <w:sz w:val="32"/>
          <w:szCs w:val="32"/>
        </w:rPr>
        <w:t>0.8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3</w:t>
      </w:r>
      <w:r>
        <w:rPr>
          <w:rFonts w:ascii="楷体" w:eastAsia="楷体" w:hAnsi="楷体" w:hint="eastAsia"/>
          <w:b/>
          <w:bCs/>
          <w:color w:val="000000" w:themeColor="text1"/>
          <w:sz w:val="32"/>
          <w:szCs w:val="32"/>
        </w:rPr>
        <w:t>、开展重大病虫害宣传培训补助。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用于印制重大病虫害识别和防治挂图、明白纸等技术宣传资料；召开重大病虫害监测防控技术培训班等。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安排资金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1.2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以上各单项补助资金总额可根据实际实施情况进行余缺调剂，资金用完为止。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五、</w:t>
      </w:r>
      <w:r>
        <w:rPr>
          <w:rFonts w:ascii="黑体" w:eastAsia="黑体" w:hAnsi="黑体" w:cs="Times New Roman" w:hint="eastAsia"/>
          <w:sz w:val="32"/>
          <w:szCs w:val="32"/>
        </w:rPr>
        <w:t>保障措施</w:t>
      </w:r>
    </w:p>
    <w:p w:rsidR="00F5364B" w:rsidRDefault="00792B67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 xml:space="preserve"> (</w:t>
      </w:r>
      <w:r>
        <w:rPr>
          <w:rFonts w:ascii="楷体" w:eastAsia="楷体" w:hAnsi="楷体" w:cs="楷体_GB2312" w:hint="eastAsia"/>
          <w:b/>
          <w:bCs/>
          <w:sz w:val="32"/>
          <w:szCs w:val="32"/>
        </w:rPr>
        <w:t>一）加强组织领导。</w:t>
      </w:r>
      <w:r>
        <w:rPr>
          <w:rFonts w:ascii="仿宋" w:eastAsia="仿宋" w:hAnsi="仿宋" w:cs="Times New Roman" w:hint="eastAsia"/>
          <w:sz w:val="32"/>
          <w:szCs w:val="32"/>
        </w:rPr>
        <w:t>各乡镇要加强组织领导，强化属地管理和行政推动，因地制宜细化</w:t>
      </w:r>
      <w:r>
        <w:rPr>
          <w:rFonts w:ascii="仿宋" w:eastAsia="仿宋" w:hAnsi="仿宋" w:cs="Times New Roman"/>
          <w:sz w:val="32"/>
          <w:szCs w:val="32"/>
        </w:rPr>
        <w:t>工作任务和资金安排，</w:t>
      </w:r>
      <w:r>
        <w:rPr>
          <w:rFonts w:ascii="仿宋" w:eastAsia="仿宋" w:hAnsi="仿宋" w:cs="Times New Roman" w:hint="eastAsia"/>
          <w:sz w:val="32"/>
          <w:szCs w:val="32"/>
        </w:rPr>
        <w:t>认真做好</w:t>
      </w:r>
      <w:r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cs="Times New Roman" w:hint="eastAsia"/>
          <w:sz w:val="32"/>
          <w:szCs w:val="32"/>
        </w:rPr>
        <w:t>申报的指导工作，确保补助政策落到实处。在病虫发生与防治关键时期，要严格执行重大灾情报告制度。</w:t>
      </w:r>
    </w:p>
    <w:p w:rsidR="00F5364B" w:rsidRDefault="00792B67">
      <w:pPr>
        <w:snapToGrid w:val="0"/>
        <w:spacing w:line="560" w:lineRule="exact"/>
        <w:ind w:firstLineChars="150" w:firstLine="482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>（二）推进统防统治和绿色防控有机融合。</w:t>
      </w:r>
      <w:r>
        <w:rPr>
          <w:rFonts w:ascii="仿宋" w:eastAsia="仿宋" w:hAnsi="仿宋" w:cs="Times New Roman" w:hint="eastAsia"/>
          <w:sz w:val="32"/>
          <w:szCs w:val="32"/>
        </w:rPr>
        <w:t>大力扶持农业经营主体，开展统防统治和绿色防控有机融合，探索病虫防控低碳、环保、可持续发展新模式，提高科学防病治虫水平，保障农业生产、农产品质量、生态环境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仿宋" w:eastAsia="仿宋" w:hAnsi="仿宋" w:cs="Times New Roman" w:hint="eastAsia"/>
          <w:sz w:val="32"/>
          <w:szCs w:val="32"/>
        </w:rPr>
        <w:t>三大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 w:hint="eastAsia"/>
          <w:sz w:val="32"/>
          <w:szCs w:val="32"/>
        </w:rPr>
        <w:t>安全，确保</w:t>
      </w:r>
      <w:r>
        <w:rPr>
          <w:rFonts w:ascii="仿宋" w:eastAsia="仿宋" w:hAnsi="仿宋" w:hint="eastAsia"/>
          <w:sz w:val="32"/>
          <w:szCs w:val="32"/>
        </w:rPr>
        <w:t>救灾</w:t>
      </w:r>
      <w:r>
        <w:rPr>
          <w:rFonts w:ascii="仿宋" w:eastAsia="仿宋" w:hAnsi="仿宋" w:cs="Times New Roman" w:hint="eastAsia"/>
          <w:sz w:val="32"/>
          <w:szCs w:val="32"/>
        </w:rPr>
        <w:t>资金发挥导向和激励作用。</w:t>
      </w:r>
    </w:p>
    <w:p w:rsidR="00F5364B" w:rsidRDefault="00792B67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sz w:val="32"/>
          <w:szCs w:val="32"/>
        </w:rPr>
        <w:t>（三）开展技术指导与服务。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植保站要加强重大病虫监测预警，及时发布病虫发生与防治信息，提出防治对策。在病虫防治关键时期，</w:t>
      </w:r>
      <w:r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cs="Times New Roman" w:hint="eastAsia"/>
          <w:sz w:val="32"/>
          <w:szCs w:val="32"/>
        </w:rPr>
        <w:t>、乡（镇）技术人员要深入一线，开展科学用药、轮换用药及综合防控等技术指导，开通技术服务热线，随时提供技术咨询服务。大力推广高效低毒低残留农药和生物农药，同时要强化对相关人员技术培训，提高服务水平，确保防治成效。</w:t>
      </w:r>
    </w:p>
    <w:p w:rsidR="00F5364B" w:rsidRDefault="00792B67">
      <w:pPr>
        <w:pStyle w:val="p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_GB2312" w:hint="eastAsia"/>
          <w:b/>
          <w:bCs/>
          <w:kern w:val="2"/>
          <w:sz w:val="32"/>
          <w:szCs w:val="32"/>
        </w:rPr>
        <w:t>（四）强化监督管理。</w:t>
      </w:r>
      <w:r>
        <w:rPr>
          <w:rFonts w:ascii="仿宋" w:eastAsia="仿宋" w:hAnsi="仿宋" w:hint="eastAsia"/>
          <w:sz w:val="32"/>
          <w:szCs w:val="32"/>
        </w:rPr>
        <w:t>要加强资金监管，对资金使用过程全程监督，防止挤占、挪用补助资金，防止违规违纪行为发生。要强化工作督导，及时督查补助资金</w:t>
      </w:r>
      <w:r>
        <w:rPr>
          <w:rFonts w:ascii="仿宋" w:eastAsia="仿宋" w:hAnsi="仿宋" w:hint="eastAsia"/>
          <w:sz w:val="32"/>
          <w:szCs w:val="32"/>
        </w:rPr>
        <w:t>使用情况和防治任务完成情况，及时纠正政策实施过程中出现的各种问题，保证补助政策实施的质量和效果。</w:t>
      </w:r>
    </w:p>
    <w:bookmarkEnd w:id="0"/>
    <w:p w:rsidR="00F5364B" w:rsidRDefault="00F5364B">
      <w:pPr>
        <w:pStyle w:val="p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sectPr w:rsidR="00F5364B" w:rsidSect="00F5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417B84"/>
    <w:rsid w:val="00066A11"/>
    <w:rsid w:val="00073215"/>
    <w:rsid w:val="00075BEE"/>
    <w:rsid w:val="000762AE"/>
    <w:rsid w:val="0008494B"/>
    <w:rsid w:val="00084E70"/>
    <w:rsid w:val="000B013C"/>
    <w:rsid w:val="000C5773"/>
    <w:rsid w:val="000E1549"/>
    <w:rsid w:val="000E22F7"/>
    <w:rsid w:val="000E2E78"/>
    <w:rsid w:val="000E615B"/>
    <w:rsid w:val="000F7A82"/>
    <w:rsid w:val="001023EF"/>
    <w:rsid w:val="00105BA5"/>
    <w:rsid w:val="0010606F"/>
    <w:rsid w:val="001068B5"/>
    <w:rsid w:val="001669E1"/>
    <w:rsid w:val="0018219A"/>
    <w:rsid w:val="001869A7"/>
    <w:rsid w:val="00196783"/>
    <w:rsid w:val="001D6B5B"/>
    <w:rsid w:val="001E06D3"/>
    <w:rsid w:val="001F0C30"/>
    <w:rsid w:val="001F2A43"/>
    <w:rsid w:val="0022753A"/>
    <w:rsid w:val="002458BA"/>
    <w:rsid w:val="00250FC9"/>
    <w:rsid w:val="00253A84"/>
    <w:rsid w:val="00263E2A"/>
    <w:rsid w:val="0026746B"/>
    <w:rsid w:val="00274B31"/>
    <w:rsid w:val="00277822"/>
    <w:rsid w:val="00280F46"/>
    <w:rsid w:val="00291BEB"/>
    <w:rsid w:val="002C6EA8"/>
    <w:rsid w:val="002F120B"/>
    <w:rsid w:val="0030494A"/>
    <w:rsid w:val="00316FA4"/>
    <w:rsid w:val="00345045"/>
    <w:rsid w:val="004146A9"/>
    <w:rsid w:val="004359C7"/>
    <w:rsid w:val="00435C53"/>
    <w:rsid w:val="00440E61"/>
    <w:rsid w:val="004610C6"/>
    <w:rsid w:val="00461C86"/>
    <w:rsid w:val="00461CBF"/>
    <w:rsid w:val="004A667E"/>
    <w:rsid w:val="004C3667"/>
    <w:rsid w:val="004D6ADC"/>
    <w:rsid w:val="00505576"/>
    <w:rsid w:val="005235F0"/>
    <w:rsid w:val="00530648"/>
    <w:rsid w:val="00531DA9"/>
    <w:rsid w:val="00542412"/>
    <w:rsid w:val="0056318E"/>
    <w:rsid w:val="00574835"/>
    <w:rsid w:val="005A15E0"/>
    <w:rsid w:val="005C48D5"/>
    <w:rsid w:val="0060010A"/>
    <w:rsid w:val="00606F91"/>
    <w:rsid w:val="00625F5D"/>
    <w:rsid w:val="006279AC"/>
    <w:rsid w:val="006303E0"/>
    <w:rsid w:val="006304C8"/>
    <w:rsid w:val="00632BA8"/>
    <w:rsid w:val="00640597"/>
    <w:rsid w:val="00651A8F"/>
    <w:rsid w:val="00663FBF"/>
    <w:rsid w:val="00666761"/>
    <w:rsid w:val="0067627B"/>
    <w:rsid w:val="00687FBE"/>
    <w:rsid w:val="006928DF"/>
    <w:rsid w:val="00696102"/>
    <w:rsid w:val="006A0284"/>
    <w:rsid w:val="006A374F"/>
    <w:rsid w:val="006A6589"/>
    <w:rsid w:val="006B474B"/>
    <w:rsid w:val="00716D53"/>
    <w:rsid w:val="0074515E"/>
    <w:rsid w:val="00792B67"/>
    <w:rsid w:val="00796EB7"/>
    <w:rsid w:val="00797BA3"/>
    <w:rsid w:val="0080149F"/>
    <w:rsid w:val="008110BF"/>
    <w:rsid w:val="008157D9"/>
    <w:rsid w:val="00817B3A"/>
    <w:rsid w:val="0083169E"/>
    <w:rsid w:val="008426A3"/>
    <w:rsid w:val="00851CDB"/>
    <w:rsid w:val="00872F85"/>
    <w:rsid w:val="008913D5"/>
    <w:rsid w:val="008C1AD6"/>
    <w:rsid w:val="008D50BB"/>
    <w:rsid w:val="008E3ADF"/>
    <w:rsid w:val="00901CB5"/>
    <w:rsid w:val="00917CD0"/>
    <w:rsid w:val="009221BC"/>
    <w:rsid w:val="00933D97"/>
    <w:rsid w:val="00941625"/>
    <w:rsid w:val="00962538"/>
    <w:rsid w:val="00966EE4"/>
    <w:rsid w:val="00985F25"/>
    <w:rsid w:val="00986643"/>
    <w:rsid w:val="00996CB4"/>
    <w:rsid w:val="009C4A7D"/>
    <w:rsid w:val="009E0742"/>
    <w:rsid w:val="009F3768"/>
    <w:rsid w:val="00A13968"/>
    <w:rsid w:val="00A37595"/>
    <w:rsid w:val="00A42BA0"/>
    <w:rsid w:val="00A67883"/>
    <w:rsid w:val="00A70962"/>
    <w:rsid w:val="00A70EEA"/>
    <w:rsid w:val="00A72A96"/>
    <w:rsid w:val="00A81B73"/>
    <w:rsid w:val="00A93430"/>
    <w:rsid w:val="00A96BBA"/>
    <w:rsid w:val="00AA4E7A"/>
    <w:rsid w:val="00AB4328"/>
    <w:rsid w:val="00AB7FD0"/>
    <w:rsid w:val="00AC7A23"/>
    <w:rsid w:val="00AD78EC"/>
    <w:rsid w:val="00AE1F63"/>
    <w:rsid w:val="00B0218B"/>
    <w:rsid w:val="00B03690"/>
    <w:rsid w:val="00B31E17"/>
    <w:rsid w:val="00B72171"/>
    <w:rsid w:val="00B76391"/>
    <w:rsid w:val="00B870B6"/>
    <w:rsid w:val="00B876B3"/>
    <w:rsid w:val="00B948AD"/>
    <w:rsid w:val="00BA6BB6"/>
    <w:rsid w:val="00BB0CF4"/>
    <w:rsid w:val="00BB1355"/>
    <w:rsid w:val="00BB7822"/>
    <w:rsid w:val="00BC1103"/>
    <w:rsid w:val="00BC6F70"/>
    <w:rsid w:val="00C311D0"/>
    <w:rsid w:val="00C36EE9"/>
    <w:rsid w:val="00C614EF"/>
    <w:rsid w:val="00C6641F"/>
    <w:rsid w:val="00C75FEE"/>
    <w:rsid w:val="00CB0611"/>
    <w:rsid w:val="00CB793E"/>
    <w:rsid w:val="00CD100F"/>
    <w:rsid w:val="00CD1A73"/>
    <w:rsid w:val="00CE4FEF"/>
    <w:rsid w:val="00CF176E"/>
    <w:rsid w:val="00CF2294"/>
    <w:rsid w:val="00D52F92"/>
    <w:rsid w:val="00D738C6"/>
    <w:rsid w:val="00D81C99"/>
    <w:rsid w:val="00DD7AE9"/>
    <w:rsid w:val="00DE35C9"/>
    <w:rsid w:val="00E16FFF"/>
    <w:rsid w:val="00E27FD0"/>
    <w:rsid w:val="00E350AA"/>
    <w:rsid w:val="00E3691B"/>
    <w:rsid w:val="00E45334"/>
    <w:rsid w:val="00E52EA8"/>
    <w:rsid w:val="00E5529C"/>
    <w:rsid w:val="00E60074"/>
    <w:rsid w:val="00E76287"/>
    <w:rsid w:val="00E83AE2"/>
    <w:rsid w:val="00E8580A"/>
    <w:rsid w:val="00E92D41"/>
    <w:rsid w:val="00E94C59"/>
    <w:rsid w:val="00E95EA8"/>
    <w:rsid w:val="00E96E59"/>
    <w:rsid w:val="00EA31C0"/>
    <w:rsid w:val="00EE5D90"/>
    <w:rsid w:val="00EE787A"/>
    <w:rsid w:val="00F11D9F"/>
    <w:rsid w:val="00F5364B"/>
    <w:rsid w:val="00F827B0"/>
    <w:rsid w:val="00F83E17"/>
    <w:rsid w:val="00F83E73"/>
    <w:rsid w:val="00FB4B7A"/>
    <w:rsid w:val="00FF0E68"/>
    <w:rsid w:val="00FF5F6D"/>
    <w:rsid w:val="00FF754C"/>
    <w:rsid w:val="0719736F"/>
    <w:rsid w:val="0CC55860"/>
    <w:rsid w:val="187A54F8"/>
    <w:rsid w:val="1CF741BC"/>
    <w:rsid w:val="20AB03A0"/>
    <w:rsid w:val="2244628B"/>
    <w:rsid w:val="24417B84"/>
    <w:rsid w:val="247844CC"/>
    <w:rsid w:val="2D394727"/>
    <w:rsid w:val="2E10665F"/>
    <w:rsid w:val="325A236F"/>
    <w:rsid w:val="3EED3E44"/>
    <w:rsid w:val="4F8B5BFE"/>
    <w:rsid w:val="58EA7538"/>
    <w:rsid w:val="5AB5461D"/>
    <w:rsid w:val="5ABE6973"/>
    <w:rsid w:val="657A2A60"/>
    <w:rsid w:val="6D535020"/>
    <w:rsid w:val="741C17EA"/>
    <w:rsid w:val="74EC48F1"/>
    <w:rsid w:val="7BA72231"/>
    <w:rsid w:val="7BBA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5364B"/>
    <w:rPr>
      <w:rFonts w:ascii="宋体" w:hAnsi="Courier New"/>
    </w:rPr>
  </w:style>
  <w:style w:type="paragraph" w:styleId="a4">
    <w:name w:val="Balloon Text"/>
    <w:basedOn w:val="a"/>
    <w:link w:val="Char"/>
    <w:rsid w:val="00F5364B"/>
    <w:rPr>
      <w:sz w:val="18"/>
      <w:szCs w:val="18"/>
    </w:rPr>
  </w:style>
  <w:style w:type="paragraph" w:styleId="a5">
    <w:name w:val="footer"/>
    <w:basedOn w:val="a"/>
    <w:qFormat/>
    <w:rsid w:val="00F5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F5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F536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F5364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页眉 Char"/>
    <w:basedOn w:val="a0"/>
    <w:link w:val="a6"/>
    <w:rsid w:val="00F5364B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F536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4</Pages>
  <Words>1820</Words>
  <Characters>84</Characters>
  <Application>Microsoft Office Word</Application>
  <DocSecurity>0</DocSecurity>
  <Lines>4</Lines>
  <Paragraphs>25</Paragraphs>
  <ScaleCrop>false</ScaleCrop>
  <Company>微软中国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祁门县农业农村水利局收文员</cp:lastModifiedBy>
  <cp:revision>2</cp:revision>
  <cp:lastPrinted>2021-10-18T07:21:00Z</cp:lastPrinted>
  <dcterms:created xsi:type="dcterms:W3CDTF">2021-10-25T08:03:00Z</dcterms:created>
  <dcterms:modified xsi:type="dcterms:W3CDTF">2021-10-25T08:03:00Z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8E59D04BC35C404095CCB5A06F852731</vt:lpwstr>
  </property>
</Properties>
</file>