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CC5A62">
      <w:pPr>
        <w:keepNext w:val="0"/>
        <w:keepLines w:val="0"/>
        <w:pageBreakBefore w:val="0"/>
        <w:widowControl w:val="0"/>
        <w:numPr>
          <w:ilvl w:val="0"/>
          <w:numId w:val="0"/>
        </w:numPr>
        <w:kinsoku/>
        <w:wordWrap/>
        <w:overflowPunct/>
        <w:topLinePunct w:val="0"/>
        <w:bidi w:val="0"/>
        <w:snapToGrid/>
        <w:spacing w:line="560" w:lineRule="exact"/>
        <w:jc w:val="center"/>
        <w:textAlignment w:val="auto"/>
        <w:outlineLvl w:val="9"/>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val="en-US" w:eastAsia="zh-CN"/>
        </w:rPr>
        <w:t>42.</w:t>
      </w:r>
      <w:r>
        <w:rPr>
          <w:rFonts w:hint="eastAsia" w:ascii="方正小标宋简体" w:hAnsi="方正小标宋简体" w:eastAsia="方正小标宋简体" w:cs="方正小标宋简体"/>
          <w:sz w:val="44"/>
          <w:szCs w:val="44"/>
        </w:rPr>
        <w:t>工业领域专项发展规划事中事后</w:t>
      </w:r>
    </w:p>
    <w:p w14:paraId="50697335">
      <w:pPr>
        <w:keepNext w:val="0"/>
        <w:keepLines w:val="0"/>
        <w:pageBreakBefore w:val="0"/>
        <w:widowControl w:val="0"/>
        <w:numPr>
          <w:ilvl w:val="0"/>
          <w:numId w:val="0"/>
        </w:numPr>
        <w:kinsoku/>
        <w:wordWrap/>
        <w:overflowPunct/>
        <w:topLinePunct w:val="0"/>
        <w:bidi w:val="0"/>
        <w:snapToGrid/>
        <w:spacing w:line="560" w:lineRule="exact"/>
        <w:jc w:val="center"/>
        <w:textAlignment w:val="auto"/>
        <w:outlineLvl w:val="9"/>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监管细则</w:t>
      </w:r>
    </w:p>
    <w:p w14:paraId="702C9E2D">
      <w:pPr>
        <w:keepNext w:val="0"/>
        <w:keepLines w:val="0"/>
        <w:pageBreakBefore w:val="0"/>
        <w:widowControl w:val="0"/>
        <w:kinsoku/>
        <w:wordWrap/>
        <w:overflowPunct/>
        <w:topLinePunct w:val="0"/>
        <w:bidi w:val="0"/>
        <w:snapToGrid/>
        <w:spacing w:line="560" w:lineRule="exact"/>
        <w:ind w:firstLine="640" w:firstLineChars="200"/>
        <w:jc w:val="center"/>
        <w:textAlignment w:val="auto"/>
        <w:outlineLvl w:val="9"/>
        <w:rPr>
          <w:rFonts w:hint="eastAsia" w:ascii="仿宋_GB2312" w:eastAsia="仿宋_GB2312"/>
          <w:sz w:val="32"/>
          <w:szCs w:val="32"/>
          <w:lang w:val="zh-CN"/>
        </w:rPr>
      </w:pPr>
    </w:p>
    <w:p w14:paraId="4C2D9687">
      <w:pPr>
        <w:keepNext w:val="0"/>
        <w:keepLines w:val="0"/>
        <w:pageBreakBefore w:val="0"/>
        <w:widowControl w:val="0"/>
        <w:kinsoku/>
        <w:wordWrap/>
        <w:overflowPunct/>
        <w:topLinePunct w:val="0"/>
        <w:bidi w:val="0"/>
        <w:snapToGrid/>
        <w:spacing w:line="560" w:lineRule="exact"/>
        <w:ind w:firstLine="640" w:firstLineChars="200"/>
        <w:jc w:val="both"/>
        <w:textAlignment w:val="auto"/>
        <w:outlineLvl w:val="9"/>
        <w:rPr>
          <w:rFonts w:hint="eastAsia" w:ascii="仿宋_GB2312" w:hAnsi="宋体" w:eastAsia="仿宋_GB2312" w:cs="宋体"/>
          <w:color w:val="000000"/>
          <w:kern w:val="0"/>
          <w:sz w:val="32"/>
          <w:szCs w:val="32"/>
          <w:lang w:val="zh-CN"/>
        </w:rPr>
      </w:pPr>
      <w:r>
        <w:rPr>
          <w:rFonts w:hint="eastAsia" w:ascii="仿宋_GB2312" w:hAnsi="宋体" w:eastAsia="仿宋_GB2312" w:cs="宋体"/>
          <w:color w:val="000000"/>
          <w:kern w:val="0"/>
          <w:sz w:val="32"/>
          <w:szCs w:val="32"/>
          <w:lang w:val="zh-CN"/>
        </w:rPr>
        <w:t>为深入推进简政放权、放管结合、优化服务，加强全县工业领域专项发展规划工作，强化政府权力运行监管，根据《安徽省政府权力运行监督管理办法》，</w:t>
      </w:r>
      <w:r>
        <w:rPr>
          <w:rFonts w:hint="eastAsia" w:ascii="仿宋_GB2312" w:hAnsi="宋体" w:eastAsia="仿宋_GB2312" w:cs="宋体"/>
          <w:sz w:val="32"/>
          <w:szCs w:val="32"/>
          <w:lang w:val="zh-CN"/>
        </w:rPr>
        <w:t>结合工作实际，制定本监管细则。</w:t>
      </w:r>
    </w:p>
    <w:p w14:paraId="055D0EA0">
      <w:pPr>
        <w:keepNext w:val="0"/>
        <w:keepLines w:val="0"/>
        <w:pageBreakBefore w:val="0"/>
        <w:widowControl w:val="0"/>
        <w:kinsoku/>
        <w:wordWrap/>
        <w:overflowPunct/>
        <w:topLinePunct w:val="0"/>
        <w:bidi w:val="0"/>
        <w:snapToGrid/>
        <w:spacing w:line="560" w:lineRule="exact"/>
        <w:ind w:firstLine="640" w:firstLineChars="200"/>
        <w:jc w:val="both"/>
        <w:textAlignment w:val="auto"/>
        <w:outlineLvl w:val="9"/>
        <w:rPr>
          <w:rFonts w:hint="eastAsia" w:ascii="仿宋_GB2312" w:hAnsi="宋体" w:eastAsia="仿宋_GB2312" w:cs="宋体"/>
          <w:sz w:val="32"/>
          <w:szCs w:val="32"/>
        </w:rPr>
      </w:pPr>
      <w:r>
        <w:rPr>
          <w:rFonts w:hint="eastAsia" w:ascii="仿宋_GB2312" w:hAnsi="宋体" w:eastAsia="仿宋_GB2312" w:cs="宋体"/>
          <w:kern w:val="0"/>
          <w:sz w:val="32"/>
          <w:szCs w:val="32"/>
          <w:lang w:val="zh-CN"/>
        </w:rPr>
        <w:t>本细则对应</w:t>
      </w:r>
      <w:r>
        <w:rPr>
          <w:rFonts w:ascii="仿宋_GB2312" w:hAnsi="仿宋" w:eastAsia="仿宋_GB2312" w:cs="仿宋_GB2312"/>
          <w:sz w:val="32"/>
          <w:szCs w:val="32"/>
          <w:lang w:val="zh-CN"/>
        </w:rPr>
        <w:t>《</w:t>
      </w:r>
      <w:r>
        <w:rPr>
          <w:rFonts w:hint="eastAsia" w:ascii="仿宋_GB2312" w:hAnsi="仿宋" w:eastAsia="仿宋_GB2312" w:cs="仿宋_GB2312"/>
          <w:sz w:val="32"/>
          <w:szCs w:val="32"/>
          <w:lang w:val="zh-CN"/>
        </w:rPr>
        <w:t>祁门县人民政府关于公布祁门县行政许可事项清单和县级权责清单县级公共服务清单县级行政权力中介服务清单（2025年版）的通知</w:t>
      </w:r>
      <w:r>
        <w:rPr>
          <w:rFonts w:ascii="仿宋_GB2312" w:hAnsi="仿宋" w:eastAsia="仿宋_GB2312" w:cs="仿宋_GB2312"/>
          <w:sz w:val="32"/>
          <w:szCs w:val="32"/>
          <w:lang w:val="zh-CN"/>
        </w:rPr>
        <w:t>》</w:t>
      </w:r>
      <w:r>
        <w:rPr>
          <w:rFonts w:hint="eastAsia" w:ascii="仿宋" w:hAnsi="仿宋" w:eastAsia="仿宋"/>
          <w:sz w:val="32"/>
          <w:szCs w:val="32"/>
        </w:rPr>
        <w:t>祁门县住房和城乡建设局</w:t>
      </w:r>
      <w:r>
        <w:rPr>
          <w:rFonts w:hint="eastAsia" w:ascii="仿宋" w:hAnsi="仿宋" w:eastAsia="仿宋"/>
          <w:sz w:val="32"/>
          <w:szCs w:val="32"/>
          <w:lang w:eastAsia="zh-CN"/>
        </w:rPr>
        <w:t>权责清单</w:t>
      </w:r>
      <w:r>
        <w:rPr>
          <w:rFonts w:hint="eastAsia" w:ascii="仿宋_GB2312" w:hAnsi="宋体" w:eastAsia="仿宋_GB2312" w:cs="宋体"/>
          <w:kern w:val="0"/>
          <w:sz w:val="32"/>
          <w:szCs w:val="32"/>
          <w:lang w:val="zh-CN"/>
        </w:rPr>
        <w:t>第</w:t>
      </w:r>
      <w:r>
        <w:rPr>
          <w:rFonts w:hint="eastAsia" w:ascii="仿宋_GB2312" w:hAnsi="宋体" w:eastAsia="仿宋_GB2312" w:cs="宋体"/>
          <w:kern w:val="0"/>
          <w:sz w:val="32"/>
          <w:szCs w:val="32"/>
          <w:lang w:val="en-US" w:eastAsia="zh-CN"/>
        </w:rPr>
        <w:t>42</w:t>
      </w:r>
      <w:r>
        <w:rPr>
          <w:rFonts w:hint="eastAsia" w:ascii="仿宋_GB2312" w:hAnsi="宋体" w:eastAsia="仿宋_GB2312" w:cs="宋体"/>
          <w:kern w:val="0"/>
          <w:sz w:val="32"/>
          <w:szCs w:val="32"/>
          <w:lang w:val="zh-CN"/>
        </w:rPr>
        <w:t>项，</w:t>
      </w:r>
      <w:r>
        <w:rPr>
          <w:rFonts w:hint="eastAsia" w:ascii="仿宋_GB2312" w:hAnsi="宋体" w:eastAsia="仿宋_GB2312" w:cs="宋体"/>
          <w:kern w:val="0"/>
          <w:sz w:val="32"/>
          <w:szCs w:val="32"/>
        </w:rPr>
        <w:t>权力类型</w:t>
      </w:r>
      <w:r>
        <w:rPr>
          <w:rFonts w:hint="eastAsia" w:ascii="仿宋_GB2312" w:hAnsi="宋体" w:eastAsia="仿宋_GB2312" w:cs="宋体"/>
          <w:kern w:val="0"/>
          <w:sz w:val="32"/>
          <w:szCs w:val="32"/>
          <w:lang w:val="zh-CN"/>
        </w:rPr>
        <w:t>：</w:t>
      </w:r>
      <w:r>
        <w:rPr>
          <w:rFonts w:hint="eastAsia" w:ascii="仿宋_GB2312" w:hAnsi="宋体" w:eastAsia="仿宋_GB2312" w:cs="宋体"/>
          <w:kern w:val="0"/>
          <w:sz w:val="32"/>
          <w:szCs w:val="32"/>
        </w:rPr>
        <w:t>行政规划</w:t>
      </w:r>
      <w:r>
        <w:rPr>
          <w:rFonts w:hint="eastAsia" w:ascii="仿宋_GB2312" w:hAnsi="宋体" w:eastAsia="仿宋_GB2312" w:cs="宋体"/>
          <w:kern w:val="0"/>
          <w:sz w:val="32"/>
          <w:szCs w:val="32"/>
          <w:lang w:val="zh-CN"/>
        </w:rPr>
        <w:t>，项目名称：</w:t>
      </w:r>
      <w:r>
        <w:rPr>
          <w:rFonts w:hint="eastAsia" w:ascii="仿宋_GB2312" w:hAnsi="宋体" w:eastAsia="仿宋_GB2312" w:cs="宋体"/>
          <w:sz w:val="32"/>
          <w:szCs w:val="32"/>
        </w:rPr>
        <w:t>工业领域专项发展规划。</w:t>
      </w:r>
    </w:p>
    <w:p w14:paraId="4E2A3DA9">
      <w:pPr>
        <w:keepNext w:val="0"/>
        <w:keepLines w:val="0"/>
        <w:pageBreakBefore w:val="0"/>
        <w:widowControl w:val="0"/>
        <w:kinsoku/>
        <w:wordWrap/>
        <w:overflowPunct/>
        <w:topLinePunct w:val="0"/>
        <w:bidi w:val="0"/>
        <w:snapToGrid/>
        <w:spacing w:line="560" w:lineRule="exact"/>
        <w:ind w:firstLine="640" w:firstLineChars="200"/>
        <w:jc w:val="both"/>
        <w:textAlignment w:val="auto"/>
        <w:outlineLvl w:val="9"/>
        <w:rPr>
          <w:rFonts w:hint="eastAsia" w:ascii="黑体" w:hAnsi="黑体" w:eastAsia="黑体" w:cs="宋体"/>
          <w:sz w:val="32"/>
          <w:szCs w:val="32"/>
        </w:rPr>
      </w:pPr>
      <w:r>
        <w:rPr>
          <w:rFonts w:hint="eastAsia" w:ascii="黑体" w:hAnsi="黑体" w:eastAsia="黑体" w:cs="宋体"/>
          <w:sz w:val="32"/>
          <w:szCs w:val="32"/>
        </w:rPr>
        <w:t>一、总体要求</w:t>
      </w:r>
    </w:p>
    <w:p w14:paraId="5A3A25F9">
      <w:pPr>
        <w:keepNext w:val="0"/>
        <w:keepLines w:val="0"/>
        <w:pageBreakBefore w:val="0"/>
        <w:widowControl w:val="0"/>
        <w:kinsoku/>
        <w:wordWrap/>
        <w:overflowPunct/>
        <w:topLinePunct w:val="0"/>
        <w:bidi w:val="0"/>
        <w:snapToGrid/>
        <w:spacing w:line="560" w:lineRule="exact"/>
        <w:ind w:firstLine="640" w:firstLineChars="200"/>
        <w:jc w:val="both"/>
        <w:textAlignment w:val="auto"/>
        <w:outlineLvl w:val="9"/>
        <w:rPr>
          <w:rFonts w:hint="eastAsia" w:ascii="仿宋_GB2312" w:hAnsi="宋体" w:eastAsia="仿宋_GB2312" w:cs="宋体"/>
          <w:sz w:val="32"/>
          <w:szCs w:val="32"/>
        </w:rPr>
      </w:pPr>
      <w:r>
        <w:rPr>
          <w:rFonts w:hint="eastAsia" w:ascii="仿宋_GB2312" w:hAnsi="宋体" w:eastAsia="仿宋_GB2312" w:cs="宋体"/>
          <w:color w:val="000000"/>
          <w:kern w:val="0"/>
          <w:sz w:val="32"/>
          <w:szCs w:val="32"/>
        </w:rPr>
        <w:t>依据</w:t>
      </w:r>
      <w:r>
        <w:rPr>
          <w:rFonts w:hint="eastAsia" w:ascii="仿宋_GB2312" w:hAnsi="宋体" w:eastAsia="仿宋_GB2312" w:cs="宋体"/>
          <w:color w:val="000000"/>
          <w:kern w:val="0"/>
          <w:sz w:val="32"/>
          <w:szCs w:val="32"/>
          <w:lang w:val="zh-CN"/>
        </w:rPr>
        <w:t>市住房城乡建设局、市经济和信息化局和县政府有关规定，</w:t>
      </w:r>
      <w:r>
        <w:rPr>
          <w:rFonts w:hint="eastAsia" w:ascii="仿宋_GB2312" w:hAnsi="宋体" w:eastAsia="仿宋_GB2312" w:cs="宋体"/>
          <w:sz w:val="32"/>
          <w:szCs w:val="32"/>
        </w:rPr>
        <w:t>通过</w:t>
      </w:r>
      <w:r>
        <w:rPr>
          <w:rFonts w:hint="eastAsia" w:ascii="仿宋_GB2312" w:hAnsi="宋体" w:eastAsia="仿宋_GB2312" w:cs="宋体"/>
          <w:color w:val="000000"/>
          <w:kern w:val="0"/>
          <w:sz w:val="32"/>
          <w:szCs w:val="32"/>
          <w:lang w:val="zh-CN"/>
        </w:rPr>
        <w:t>工业领域专项发展</w:t>
      </w:r>
      <w:r>
        <w:rPr>
          <w:rFonts w:hint="eastAsia" w:ascii="仿宋_GB2312" w:hAnsi="宋体" w:eastAsia="仿宋_GB2312" w:cs="宋体"/>
          <w:sz w:val="32"/>
          <w:szCs w:val="32"/>
        </w:rPr>
        <w:t>规划,分析我</w:t>
      </w:r>
      <w:r>
        <w:rPr>
          <w:rFonts w:hint="eastAsia" w:ascii="仿宋_GB2312" w:hAnsi="宋体" w:eastAsia="仿宋_GB2312" w:cs="宋体"/>
          <w:sz w:val="32"/>
          <w:szCs w:val="32"/>
          <w:lang w:eastAsia="zh-CN"/>
        </w:rPr>
        <w:t>县</w:t>
      </w:r>
      <w:r>
        <w:rPr>
          <w:rFonts w:hint="eastAsia" w:ascii="仿宋_GB2312" w:hAnsi="宋体" w:eastAsia="仿宋_GB2312" w:cs="宋体"/>
          <w:color w:val="000000"/>
          <w:kern w:val="0"/>
          <w:sz w:val="32"/>
          <w:szCs w:val="32"/>
          <w:lang w:val="zh-CN"/>
        </w:rPr>
        <w:t>工业领域专项发展</w:t>
      </w:r>
      <w:r>
        <w:rPr>
          <w:rFonts w:hint="eastAsia" w:ascii="仿宋_GB2312" w:hAnsi="宋体" w:eastAsia="仿宋_GB2312" w:cs="宋体"/>
          <w:sz w:val="32"/>
          <w:szCs w:val="32"/>
        </w:rPr>
        <w:t>面临的形势，谋划规划目标、主要任务、规划条例等，确保</w:t>
      </w:r>
      <w:r>
        <w:rPr>
          <w:rFonts w:hint="eastAsia" w:ascii="仿宋_GB2312" w:hAnsi="宋体" w:eastAsia="仿宋_GB2312" w:cs="宋体"/>
          <w:sz w:val="32"/>
          <w:szCs w:val="32"/>
          <w:lang w:eastAsia="zh-CN"/>
        </w:rPr>
        <w:t>祁门县</w:t>
      </w:r>
      <w:r>
        <w:rPr>
          <w:rFonts w:hint="eastAsia" w:ascii="仿宋_GB2312" w:hAnsi="宋体" w:eastAsia="仿宋_GB2312" w:cs="宋体"/>
          <w:color w:val="000000"/>
          <w:kern w:val="0"/>
          <w:sz w:val="32"/>
          <w:szCs w:val="32"/>
          <w:lang w:val="zh-CN"/>
        </w:rPr>
        <w:t>工业领域专项发展</w:t>
      </w:r>
      <w:r>
        <w:rPr>
          <w:rFonts w:hint="eastAsia" w:ascii="仿宋_GB2312" w:hAnsi="宋体" w:eastAsia="仿宋_GB2312" w:cs="宋体"/>
          <w:sz w:val="32"/>
          <w:szCs w:val="32"/>
        </w:rPr>
        <w:t>规划完成。</w:t>
      </w:r>
    </w:p>
    <w:p w14:paraId="52B99391">
      <w:pPr>
        <w:keepNext w:val="0"/>
        <w:keepLines w:val="0"/>
        <w:pageBreakBefore w:val="0"/>
        <w:widowControl w:val="0"/>
        <w:kinsoku/>
        <w:wordWrap/>
        <w:overflowPunct/>
        <w:topLinePunct w:val="0"/>
        <w:bidi w:val="0"/>
        <w:snapToGrid/>
        <w:spacing w:line="560" w:lineRule="exact"/>
        <w:ind w:firstLine="640" w:firstLineChars="200"/>
        <w:jc w:val="both"/>
        <w:textAlignment w:val="auto"/>
        <w:outlineLvl w:val="9"/>
        <w:rPr>
          <w:rFonts w:hint="eastAsia" w:ascii="黑体" w:hAnsi="黑体" w:eastAsia="黑体" w:cs="宋体"/>
          <w:sz w:val="32"/>
          <w:szCs w:val="32"/>
        </w:rPr>
      </w:pPr>
      <w:r>
        <w:rPr>
          <w:rFonts w:hint="eastAsia" w:ascii="黑体" w:hAnsi="黑体" w:eastAsia="黑体" w:cs="宋体"/>
          <w:sz w:val="32"/>
          <w:szCs w:val="32"/>
        </w:rPr>
        <w:t>二、事中监管</w:t>
      </w:r>
    </w:p>
    <w:p w14:paraId="657D5BBC">
      <w:pPr>
        <w:keepNext w:val="0"/>
        <w:keepLines w:val="0"/>
        <w:pageBreakBefore w:val="0"/>
        <w:widowControl w:val="0"/>
        <w:kinsoku/>
        <w:wordWrap/>
        <w:overflowPunct/>
        <w:topLinePunct w:val="0"/>
        <w:bidi w:val="0"/>
        <w:snapToGrid/>
        <w:spacing w:line="560" w:lineRule="exact"/>
        <w:ind w:firstLine="640" w:firstLineChars="200"/>
        <w:jc w:val="both"/>
        <w:textAlignment w:val="auto"/>
        <w:outlineLvl w:val="9"/>
        <w:rPr>
          <w:rFonts w:hint="eastAsia" w:ascii="仿宋_GB2312" w:hAnsi="宋体" w:eastAsia="仿宋_GB2312" w:cs="宋体"/>
          <w:sz w:val="32"/>
          <w:szCs w:val="32"/>
        </w:rPr>
      </w:pPr>
      <w:r>
        <w:rPr>
          <w:rFonts w:hint="eastAsia" w:ascii="仿宋_GB2312" w:hAnsi="宋体" w:eastAsia="仿宋_GB2312" w:cs="宋体"/>
          <w:sz w:val="32"/>
          <w:szCs w:val="32"/>
        </w:rPr>
        <w:t>（一）</w:t>
      </w:r>
      <w:r>
        <w:rPr>
          <w:rFonts w:hint="eastAsia" w:ascii="仿宋_GB2312" w:hAnsi="宋体" w:eastAsia="仿宋_GB2312" w:cs="宋体"/>
          <w:color w:val="000000"/>
          <w:kern w:val="0"/>
          <w:sz w:val="32"/>
          <w:szCs w:val="32"/>
          <w:lang w:val="zh-CN"/>
        </w:rPr>
        <w:t>确定规划编制单位。祁门县住建局建管股</w:t>
      </w:r>
      <w:r>
        <w:rPr>
          <w:rFonts w:hint="eastAsia" w:ascii="仿宋_GB2312" w:hAnsi="宋体" w:eastAsia="仿宋_GB2312" w:cs="宋体"/>
          <w:sz w:val="32"/>
          <w:szCs w:val="32"/>
        </w:rPr>
        <w:t>按照《政府采购法》规定，通过政府购买服务方式，确定</w:t>
      </w:r>
      <w:r>
        <w:rPr>
          <w:rFonts w:hint="eastAsia" w:ascii="仿宋_GB2312" w:hAnsi="宋体" w:eastAsia="仿宋_GB2312" w:cs="宋体"/>
          <w:sz w:val="32"/>
          <w:szCs w:val="32"/>
          <w:lang w:eastAsia="zh-CN"/>
        </w:rPr>
        <w:t>工业领域专项发展规划</w:t>
      </w:r>
      <w:r>
        <w:rPr>
          <w:rFonts w:hint="eastAsia" w:ascii="仿宋_GB2312" w:hAnsi="宋体" w:eastAsia="仿宋_GB2312" w:cs="宋体"/>
          <w:sz w:val="32"/>
          <w:szCs w:val="32"/>
        </w:rPr>
        <w:t>编制单位，应当确保编制单位的资质、专业范围和能力能够保证规划质量。</w:t>
      </w:r>
    </w:p>
    <w:p w14:paraId="16B40266">
      <w:pPr>
        <w:keepNext w:val="0"/>
        <w:keepLines w:val="0"/>
        <w:pageBreakBefore w:val="0"/>
        <w:widowControl w:val="0"/>
        <w:kinsoku/>
        <w:wordWrap/>
        <w:overflowPunct/>
        <w:topLinePunct w:val="0"/>
        <w:bidi w:val="0"/>
        <w:snapToGrid/>
        <w:spacing w:line="560" w:lineRule="exact"/>
        <w:ind w:firstLine="640" w:firstLineChars="200"/>
        <w:jc w:val="both"/>
        <w:textAlignment w:val="auto"/>
        <w:outlineLvl w:val="9"/>
        <w:rPr>
          <w:rFonts w:hint="eastAsia" w:ascii="仿宋_GB2312" w:hAnsi="宋体" w:eastAsia="仿宋_GB2312" w:cs="宋体"/>
          <w:sz w:val="32"/>
          <w:szCs w:val="32"/>
        </w:rPr>
      </w:pPr>
      <w:r>
        <w:rPr>
          <w:rFonts w:hint="eastAsia" w:ascii="仿宋_GB2312" w:hAnsi="宋体" w:eastAsia="仿宋_GB2312" w:cs="宋体"/>
          <w:sz w:val="32"/>
          <w:szCs w:val="32"/>
        </w:rPr>
        <w:t>（二）编制规划。</w:t>
      </w:r>
      <w:r>
        <w:rPr>
          <w:rFonts w:hint="eastAsia" w:ascii="仿宋_GB2312" w:hAnsi="宋体" w:eastAsia="仿宋_GB2312" w:cs="宋体"/>
          <w:color w:val="000000"/>
          <w:kern w:val="0"/>
          <w:sz w:val="32"/>
          <w:szCs w:val="32"/>
          <w:lang w:val="zh-CN"/>
        </w:rPr>
        <w:t>祁门县住建局建管股</w:t>
      </w:r>
      <w:r>
        <w:rPr>
          <w:rFonts w:hint="eastAsia" w:ascii="仿宋_GB2312" w:hAnsi="宋体" w:eastAsia="仿宋_GB2312" w:cs="宋体"/>
          <w:sz w:val="32"/>
          <w:szCs w:val="32"/>
        </w:rPr>
        <w:t>应当为规划编制单位提供行业资料、数据和发展思路等信息，为编制规划提供科学准确的参考。规划编制单位应基于准确的信息和科学的评价体系合理确定发展目标。</w:t>
      </w:r>
    </w:p>
    <w:p w14:paraId="3F234F3E">
      <w:pPr>
        <w:keepNext w:val="0"/>
        <w:keepLines w:val="0"/>
        <w:pageBreakBefore w:val="0"/>
        <w:widowControl w:val="0"/>
        <w:kinsoku/>
        <w:wordWrap/>
        <w:overflowPunct/>
        <w:topLinePunct w:val="0"/>
        <w:bidi w:val="0"/>
        <w:snapToGrid/>
        <w:spacing w:line="560" w:lineRule="exact"/>
        <w:ind w:firstLine="640" w:firstLineChars="200"/>
        <w:jc w:val="both"/>
        <w:textAlignment w:val="auto"/>
        <w:outlineLvl w:val="9"/>
        <w:rPr>
          <w:rFonts w:hint="eastAsia" w:ascii="仿宋_GB2312" w:hAnsi="宋体" w:eastAsia="仿宋_GB2312" w:cs="宋体"/>
          <w:sz w:val="32"/>
          <w:szCs w:val="32"/>
        </w:rPr>
      </w:pPr>
      <w:r>
        <w:rPr>
          <w:rFonts w:hint="eastAsia" w:ascii="仿宋_GB2312" w:hAnsi="宋体" w:eastAsia="仿宋_GB2312" w:cs="宋体"/>
          <w:sz w:val="32"/>
          <w:szCs w:val="32"/>
        </w:rPr>
        <w:t>（三）征求意见。向</w:t>
      </w:r>
      <w:r>
        <w:rPr>
          <w:rFonts w:hint="eastAsia" w:ascii="仿宋_GB2312" w:hAnsi="宋体" w:eastAsia="仿宋_GB2312" w:cs="宋体"/>
          <w:sz w:val="32"/>
          <w:szCs w:val="32"/>
          <w:lang w:eastAsia="zh-CN"/>
        </w:rPr>
        <w:t>县</w:t>
      </w:r>
      <w:r>
        <w:rPr>
          <w:rFonts w:hint="eastAsia" w:ascii="仿宋_GB2312" w:hAnsi="宋体" w:eastAsia="仿宋_GB2312" w:cs="宋体"/>
          <w:sz w:val="32"/>
          <w:szCs w:val="32"/>
        </w:rPr>
        <w:t>相关部门和</w:t>
      </w:r>
      <w:r>
        <w:rPr>
          <w:rFonts w:hint="eastAsia" w:ascii="仿宋_GB2312" w:hAnsi="宋体" w:eastAsia="仿宋_GB2312" w:cs="宋体"/>
          <w:sz w:val="32"/>
          <w:szCs w:val="32"/>
          <w:lang w:eastAsia="zh-CN"/>
        </w:rPr>
        <w:t>县</w:t>
      </w:r>
      <w:r>
        <w:rPr>
          <w:rFonts w:hint="eastAsia" w:ascii="仿宋_GB2312" w:hAnsi="宋体" w:eastAsia="仿宋_GB2312" w:cs="宋体"/>
          <w:sz w:val="32"/>
          <w:szCs w:val="32"/>
        </w:rPr>
        <w:t>住房城乡建设系统征求意见，根据意见修改完善后报审。</w:t>
      </w:r>
    </w:p>
    <w:p w14:paraId="7C5BB2DF">
      <w:pPr>
        <w:keepNext w:val="0"/>
        <w:keepLines w:val="0"/>
        <w:pageBreakBefore w:val="0"/>
        <w:widowControl w:val="0"/>
        <w:kinsoku/>
        <w:wordWrap/>
        <w:overflowPunct/>
        <w:topLinePunct w:val="0"/>
        <w:bidi w:val="0"/>
        <w:snapToGrid/>
        <w:spacing w:line="560" w:lineRule="exact"/>
        <w:ind w:firstLine="640" w:firstLineChars="200"/>
        <w:jc w:val="both"/>
        <w:textAlignment w:val="auto"/>
        <w:outlineLvl w:val="9"/>
        <w:rPr>
          <w:rFonts w:hint="eastAsia" w:ascii="仿宋_GB2312" w:hAnsi="宋体" w:eastAsia="仿宋_GB2312" w:cs="宋体"/>
          <w:sz w:val="32"/>
          <w:szCs w:val="32"/>
        </w:rPr>
      </w:pPr>
      <w:r>
        <w:rPr>
          <w:rFonts w:hint="eastAsia" w:ascii="仿宋_GB2312" w:hAnsi="宋体" w:eastAsia="仿宋_GB2312" w:cs="宋体"/>
          <w:sz w:val="32"/>
          <w:szCs w:val="32"/>
        </w:rPr>
        <w:t>（四）组织评审。组织专家对</w:t>
      </w:r>
      <w:r>
        <w:rPr>
          <w:rFonts w:hint="eastAsia" w:ascii="仿宋_GB2312" w:hAnsi="宋体" w:eastAsia="仿宋_GB2312" w:cs="宋体"/>
          <w:sz w:val="32"/>
          <w:szCs w:val="32"/>
          <w:lang w:eastAsia="zh-CN"/>
        </w:rPr>
        <w:t>工业领域专项发展规划</w:t>
      </w:r>
      <w:r>
        <w:rPr>
          <w:rFonts w:hint="eastAsia" w:ascii="仿宋_GB2312" w:hAnsi="宋体" w:eastAsia="仿宋_GB2312" w:cs="宋体"/>
          <w:sz w:val="32"/>
          <w:szCs w:val="32"/>
        </w:rPr>
        <w:t>进行评审，审查规划编制是否符合全</w:t>
      </w:r>
      <w:r>
        <w:rPr>
          <w:rFonts w:hint="eastAsia" w:ascii="仿宋_GB2312" w:hAnsi="宋体" w:eastAsia="仿宋_GB2312" w:cs="宋体"/>
          <w:sz w:val="32"/>
          <w:szCs w:val="32"/>
          <w:lang w:eastAsia="zh-CN"/>
        </w:rPr>
        <w:t>县</w:t>
      </w:r>
      <w:r>
        <w:rPr>
          <w:rFonts w:hint="eastAsia" w:ascii="仿宋_GB2312" w:hAnsi="宋体" w:eastAsia="仿宋_GB2312" w:cs="宋体"/>
          <w:sz w:val="32"/>
          <w:szCs w:val="32"/>
        </w:rPr>
        <w:t>国民经济和社会发展规划以及全</w:t>
      </w:r>
      <w:r>
        <w:rPr>
          <w:rFonts w:hint="eastAsia" w:ascii="仿宋_GB2312" w:hAnsi="宋体" w:eastAsia="仿宋_GB2312" w:cs="宋体"/>
          <w:sz w:val="32"/>
          <w:szCs w:val="32"/>
          <w:lang w:eastAsia="zh-CN"/>
        </w:rPr>
        <w:t>县工业领域专项发展规划</w:t>
      </w:r>
      <w:r>
        <w:rPr>
          <w:rFonts w:hint="eastAsia" w:ascii="仿宋_GB2312" w:hAnsi="宋体" w:eastAsia="仿宋_GB2312" w:cs="宋体"/>
          <w:sz w:val="32"/>
          <w:szCs w:val="32"/>
        </w:rPr>
        <w:t>趋势、发展目标是否科学合理、工作措施是否有效可行、保障措施是否得力全面。</w:t>
      </w:r>
    </w:p>
    <w:p w14:paraId="0EA04DA3">
      <w:pPr>
        <w:keepNext w:val="0"/>
        <w:keepLines w:val="0"/>
        <w:pageBreakBefore w:val="0"/>
        <w:widowControl w:val="0"/>
        <w:kinsoku/>
        <w:wordWrap/>
        <w:overflowPunct/>
        <w:topLinePunct w:val="0"/>
        <w:bidi w:val="0"/>
        <w:snapToGrid/>
        <w:spacing w:line="560" w:lineRule="exact"/>
        <w:ind w:firstLine="640" w:firstLineChars="200"/>
        <w:jc w:val="both"/>
        <w:textAlignment w:val="auto"/>
        <w:outlineLvl w:val="9"/>
        <w:rPr>
          <w:rFonts w:hint="eastAsia" w:ascii="仿宋_GB2312" w:hAnsi="宋体" w:eastAsia="仿宋_GB2312" w:cs="宋体"/>
          <w:sz w:val="32"/>
          <w:szCs w:val="32"/>
        </w:rPr>
      </w:pPr>
      <w:r>
        <w:rPr>
          <w:rFonts w:hint="eastAsia" w:ascii="仿宋_GB2312" w:hAnsi="宋体" w:eastAsia="仿宋_GB2312" w:cs="宋体"/>
          <w:sz w:val="32"/>
          <w:szCs w:val="32"/>
        </w:rPr>
        <w:t>（五）公开发布。向</w:t>
      </w:r>
      <w:r>
        <w:rPr>
          <w:rFonts w:hint="eastAsia" w:ascii="仿宋_GB2312" w:hAnsi="宋体" w:eastAsia="仿宋_GB2312" w:cs="宋体"/>
          <w:sz w:val="32"/>
          <w:szCs w:val="32"/>
          <w:lang w:eastAsia="zh-CN"/>
        </w:rPr>
        <w:t>全县</w:t>
      </w:r>
      <w:r>
        <w:rPr>
          <w:rFonts w:hint="eastAsia" w:ascii="仿宋_GB2312" w:hAnsi="宋体" w:eastAsia="仿宋_GB2312" w:cs="宋体"/>
          <w:sz w:val="32"/>
          <w:szCs w:val="32"/>
        </w:rPr>
        <w:t>住房城乡建设系统发布行业发展规划。</w:t>
      </w:r>
    </w:p>
    <w:p w14:paraId="5DD720EE">
      <w:pPr>
        <w:keepNext w:val="0"/>
        <w:keepLines w:val="0"/>
        <w:pageBreakBefore w:val="0"/>
        <w:widowControl w:val="0"/>
        <w:kinsoku/>
        <w:wordWrap/>
        <w:overflowPunct/>
        <w:topLinePunct w:val="0"/>
        <w:bidi w:val="0"/>
        <w:snapToGrid/>
        <w:spacing w:line="560" w:lineRule="exact"/>
        <w:ind w:firstLine="640" w:firstLineChars="200"/>
        <w:jc w:val="both"/>
        <w:textAlignment w:val="auto"/>
        <w:outlineLvl w:val="9"/>
        <w:rPr>
          <w:rFonts w:hint="eastAsia" w:ascii="黑体" w:hAnsi="黑体" w:eastAsia="黑体" w:cs="宋体"/>
          <w:b w:val="0"/>
          <w:bCs/>
          <w:color w:val="000000"/>
          <w:kern w:val="0"/>
          <w:sz w:val="32"/>
          <w:szCs w:val="32"/>
          <w:lang w:val="zh-CN"/>
        </w:rPr>
      </w:pPr>
      <w:r>
        <w:rPr>
          <w:rFonts w:hint="eastAsia" w:ascii="黑体" w:hAnsi="黑体" w:eastAsia="黑体" w:cs="宋体"/>
          <w:b w:val="0"/>
          <w:bCs/>
          <w:color w:val="000000"/>
          <w:kern w:val="0"/>
          <w:sz w:val="32"/>
          <w:szCs w:val="32"/>
          <w:lang w:val="zh-CN"/>
        </w:rPr>
        <w:t>三、事后监管</w:t>
      </w:r>
    </w:p>
    <w:p w14:paraId="33B127AD">
      <w:pPr>
        <w:keepNext w:val="0"/>
        <w:keepLines w:val="0"/>
        <w:pageBreakBefore w:val="0"/>
        <w:widowControl w:val="0"/>
        <w:kinsoku/>
        <w:wordWrap/>
        <w:overflowPunct/>
        <w:topLinePunct w:val="0"/>
        <w:bidi w:val="0"/>
        <w:snapToGrid/>
        <w:spacing w:line="560" w:lineRule="exact"/>
        <w:ind w:firstLine="640" w:firstLineChars="200"/>
        <w:jc w:val="both"/>
        <w:textAlignment w:val="auto"/>
        <w:outlineLvl w:val="9"/>
        <w:rPr>
          <w:rFonts w:hint="eastAsia" w:ascii="仿宋_GB2312" w:hAnsi="宋体" w:eastAsia="仿宋_GB2312" w:cs="宋体"/>
          <w:sz w:val="32"/>
          <w:szCs w:val="32"/>
        </w:rPr>
      </w:pPr>
      <w:r>
        <w:rPr>
          <w:rFonts w:hint="eastAsia" w:ascii="仿宋_GB2312" w:hAnsi="宋体" w:eastAsia="仿宋_GB2312" w:cs="宋体"/>
          <w:sz w:val="32"/>
          <w:szCs w:val="32"/>
        </w:rPr>
        <w:t>（一）监督检查。适时开展督查工作，查找行业运行中存在的问题和隐患，提出整改措施并督促整改。</w:t>
      </w:r>
    </w:p>
    <w:p w14:paraId="1BB746AC">
      <w:pPr>
        <w:keepNext w:val="0"/>
        <w:keepLines w:val="0"/>
        <w:pageBreakBefore w:val="0"/>
        <w:widowControl w:val="0"/>
        <w:kinsoku/>
        <w:wordWrap/>
        <w:overflowPunct/>
        <w:topLinePunct w:val="0"/>
        <w:bidi w:val="0"/>
        <w:snapToGrid/>
        <w:spacing w:line="560" w:lineRule="exact"/>
        <w:ind w:firstLine="640" w:firstLineChars="200"/>
        <w:jc w:val="both"/>
        <w:textAlignment w:val="auto"/>
        <w:outlineLvl w:val="9"/>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（二）</w:t>
      </w:r>
      <w:r>
        <w:rPr>
          <w:rFonts w:hint="eastAsia" w:ascii="仿宋_GB2312" w:hAnsi="宋体" w:eastAsia="仿宋_GB2312" w:cs="宋体"/>
          <w:sz w:val="32"/>
          <w:szCs w:val="32"/>
        </w:rPr>
        <w:t>定期考核。对</w:t>
      </w:r>
      <w:r>
        <w:rPr>
          <w:rFonts w:hint="eastAsia" w:ascii="仿宋_GB2312" w:hAnsi="宋体" w:eastAsia="仿宋_GB2312" w:cs="宋体"/>
          <w:sz w:val="32"/>
          <w:szCs w:val="32"/>
          <w:lang w:eastAsia="zh-CN"/>
        </w:rPr>
        <w:t>工业领域专项发展规划</w:t>
      </w:r>
      <w:r>
        <w:rPr>
          <w:rFonts w:hint="eastAsia" w:ascii="仿宋_GB2312" w:hAnsi="宋体" w:eastAsia="仿宋_GB2312" w:cs="宋体"/>
          <w:sz w:val="32"/>
          <w:szCs w:val="32"/>
        </w:rPr>
        <w:t>落实情况进行动态跟踪，实施绩效评估，对行业规划中明确的指标进行年度考核，并在系统内通报。</w:t>
      </w:r>
    </w:p>
    <w:p w14:paraId="5AB011A2">
      <w:pPr>
        <w:keepNext w:val="0"/>
        <w:keepLines w:val="0"/>
        <w:pageBreakBefore w:val="0"/>
        <w:widowControl w:val="0"/>
        <w:kinsoku/>
        <w:wordWrap/>
        <w:overflowPunct/>
        <w:topLinePunct w:val="0"/>
        <w:bidi w:val="0"/>
        <w:snapToGrid/>
        <w:spacing w:line="560" w:lineRule="exact"/>
        <w:ind w:firstLine="640" w:firstLineChars="200"/>
        <w:jc w:val="both"/>
        <w:textAlignment w:val="auto"/>
        <w:outlineLvl w:val="9"/>
        <w:rPr>
          <w:rFonts w:hint="eastAsia" w:ascii="仿宋_GB2312" w:hAnsi="宋体" w:eastAsia="仿宋_GB2312" w:cs="宋体"/>
          <w:sz w:val="32"/>
          <w:szCs w:val="32"/>
        </w:rPr>
      </w:pPr>
      <w:r>
        <w:rPr>
          <w:rFonts w:hint="eastAsia" w:ascii="仿宋_GB2312" w:hAnsi="宋体" w:eastAsia="仿宋_GB2312" w:cs="宋体"/>
          <w:sz w:val="32"/>
          <w:szCs w:val="32"/>
        </w:rPr>
        <w:t>（三）建立评估制度。对规划实施情况开展中期评估，检查规划落实情况，分析规划实施效果，提出相应对策建议，形成中期评估报告，必要时对规划内容进行调整和修订。</w:t>
      </w:r>
    </w:p>
    <w:p w14:paraId="5A81870D">
      <w:pPr>
        <w:keepNext w:val="0"/>
        <w:keepLines w:val="0"/>
        <w:pageBreakBefore w:val="0"/>
        <w:widowControl w:val="0"/>
        <w:kinsoku/>
        <w:wordWrap/>
        <w:overflowPunct/>
        <w:topLinePunct w:val="0"/>
        <w:bidi w:val="0"/>
        <w:snapToGrid/>
        <w:spacing w:line="560" w:lineRule="exact"/>
        <w:ind w:firstLine="640" w:firstLineChars="200"/>
        <w:jc w:val="both"/>
        <w:textAlignment w:val="auto"/>
        <w:outlineLvl w:val="9"/>
        <w:rPr>
          <w:rFonts w:hint="eastAsia" w:ascii="仿宋_GB2312" w:hAnsi="宋体" w:eastAsia="仿宋_GB2312" w:cs="宋体"/>
          <w:sz w:val="32"/>
          <w:szCs w:val="32"/>
        </w:rPr>
      </w:pPr>
      <w:r>
        <w:rPr>
          <w:rFonts w:hint="eastAsia" w:ascii="仿宋_GB2312" w:hAnsi="宋体" w:eastAsia="仿宋_GB2312" w:cs="宋体"/>
          <w:sz w:val="32"/>
          <w:szCs w:val="32"/>
        </w:rPr>
        <w:t>（四）推进规划实施的信息公开。健全与企业、公众沟通机制，增强规划实施的公开性和透明度，主动接受社会各界对规划实施的监督。</w:t>
      </w:r>
    </w:p>
    <w:p w14:paraId="560DD24C">
      <w:pPr>
        <w:keepNext w:val="0"/>
        <w:keepLines w:val="0"/>
        <w:pageBreakBefore w:val="0"/>
        <w:widowControl w:val="0"/>
        <w:kinsoku/>
        <w:wordWrap/>
        <w:overflowPunct/>
        <w:topLinePunct w:val="0"/>
        <w:bidi w:val="0"/>
        <w:snapToGrid/>
        <w:spacing w:line="560" w:lineRule="exact"/>
        <w:ind w:firstLine="640" w:firstLineChars="200"/>
        <w:jc w:val="both"/>
        <w:textAlignment w:val="auto"/>
        <w:outlineLvl w:val="9"/>
        <w:rPr>
          <w:rFonts w:hint="eastAsia" w:ascii="黑体" w:hAnsi="黑体" w:eastAsia="黑体" w:cs="宋体"/>
          <w:sz w:val="32"/>
          <w:szCs w:val="32"/>
        </w:rPr>
      </w:pPr>
      <w:r>
        <w:rPr>
          <w:rFonts w:hint="eastAsia" w:ascii="黑体" w:hAnsi="黑体" w:eastAsia="黑体" w:cs="宋体"/>
          <w:sz w:val="32"/>
          <w:szCs w:val="32"/>
        </w:rPr>
        <w:t>四、责任追究</w:t>
      </w:r>
    </w:p>
    <w:p w14:paraId="0B0BB813">
      <w:pPr>
        <w:keepNext w:val="0"/>
        <w:keepLines w:val="0"/>
        <w:pageBreakBefore w:val="0"/>
        <w:widowControl w:val="0"/>
        <w:kinsoku/>
        <w:wordWrap/>
        <w:overflowPunct/>
        <w:topLinePunct w:val="0"/>
        <w:bidi w:val="0"/>
        <w:snapToGrid/>
        <w:spacing w:line="560" w:lineRule="exact"/>
        <w:ind w:firstLine="640" w:firstLineChars="200"/>
        <w:jc w:val="both"/>
        <w:textAlignment w:val="auto"/>
        <w:outlineLvl w:val="9"/>
        <w:rPr>
          <w:rFonts w:hint="eastAsia" w:ascii="仿宋_GB2312" w:hAnsi="宋体" w:eastAsia="仿宋_GB2312" w:cs="宋体"/>
          <w:sz w:val="32"/>
          <w:szCs w:val="32"/>
        </w:rPr>
      </w:pPr>
      <w:r>
        <w:rPr>
          <w:rFonts w:hint="eastAsia" w:ascii="仿宋_GB2312" w:hAnsi="宋体" w:eastAsia="仿宋_GB2312" w:cs="宋体"/>
          <w:sz w:val="32"/>
          <w:szCs w:val="32"/>
        </w:rPr>
        <w:t>（一）加强层级监督。</w:t>
      </w:r>
      <w:r>
        <w:rPr>
          <w:rFonts w:hint="eastAsia" w:ascii="仿宋_GB2312" w:hAnsi="宋体" w:eastAsia="仿宋_GB2312" w:cs="宋体"/>
          <w:sz w:val="32"/>
          <w:szCs w:val="32"/>
          <w:lang w:eastAsia="zh-CN"/>
        </w:rPr>
        <w:t>祁门县住建局</w:t>
      </w:r>
      <w:r>
        <w:rPr>
          <w:rFonts w:hint="eastAsia" w:ascii="仿宋_GB2312" w:hAnsi="宋体" w:eastAsia="仿宋_GB2312" w:cs="宋体"/>
          <w:sz w:val="32"/>
          <w:szCs w:val="32"/>
        </w:rPr>
        <w:t>对责任科室、相关单位是否按规定编制规划进行调查了解，对规划编制进行实时指导，对规划实施情况进行监督检查和督促。</w:t>
      </w:r>
    </w:p>
    <w:p w14:paraId="64FB52F8">
      <w:pPr>
        <w:keepNext w:val="0"/>
        <w:keepLines w:val="0"/>
        <w:pageBreakBefore w:val="0"/>
        <w:widowControl w:val="0"/>
        <w:kinsoku/>
        <w:wordWrap/>
        <w:overflowPunct/>
        <w:topLinePunct w:val="0"/>
        <w:bidi w:val="0"/>
        <w:snapToGrid/>
        <w:spacing w:line="560" w:lineRule="exact"/>
        <w:ind w:firstLine="640" w:firstLineChars="200"/>
        <w:jc w:val="both"/>
        <w:textAlignment w:val="auto"/>
        <w:outlineLvl w:val="9"/>
        <w:rPr>
          <w:rFonts w:hint="eastAsia" w:ascii="仿宋_GB2312" w:hAnsi="宋体" w:eastAsia="仿宋_GB2312" w:cs="宋体"/>
          <w:color w:val="000000"/>
          <w:kern w:val="0"/>
          <w:sz w:val="32"/>
          <w:szCs w:val="32"/>
          <w:lang w:val="zh-CN"/>
        </w:rPr>
      </w:pPr>
      <w:r>
        <w:rPr>
          <w:rFonts w:hint="eastAsia" w:ascii="仿宋_GB2312" w:hAnsi="宋体" w:eastAsia="仿宋_GB2312" w:cs="宋体"/>
          <w:sz w:val="32"/>
          <w:szCs w:val="32"/>
        </w:rPr>
        <w:t>（二）建立监管责任追究机制。对责任科室及相关单位没有按规定编制规划的，</w:t>
      </w:r>
      <w:r>
        <w:rPr>
          <w:rFonts w:hint="eastAsia" w:ascii="仿宋_GB2312" w:hAnsi="宋体" w:eastAsia="仿宋_GB2312" w:cs="宋体"/>
          <w:sz w:val="32"/>
          <w:szCs w:val="32"/>
          <w:lang w:eastAsia="zh-CN"/>
        </w:rPr>
        <w:t>祁门县住建局</w:t>
      </w:r>
      <w:r>
        <w:rPr>
          <w:rFonts w:hint="eastAsia" w:ascii="仿宋_GB2312" w:hAnsi="宋体" w:eastAsia="仿宋_GB2312" w:cs="宋体"/>
          <w:sz w:val="32"/>
          <w:szCs w:val="32"/>
        </w:rPr>
        <w:t>在年度考核时，除予以扣分外，并将给予通报批评；对规划实施不力的，除通报批评外，还将约谈其主要负责人。</w:t>
      </w:r>
    </w:p>
    <w:p w14:paraId="396D6989">
      <w:pPr>
        <w:keepNext w:val="0"/>
        <w:keepLines w:val="0"/>
        <w:pageBreakBefore w:val="0"/>
        <w:widowControl w:val="0"/>
        <w:kinsoku/>
        <w:wordWrap/>
        <w:overflowPunct/>
        <w:topLinePunct w:val="0"/>
        <w:bidi w:val="0"/>
        <w:snapToGrid/>
        <w:spacing w:line="560" w:lineRule="exact"/>
        <w:ind w:firstLine="640" w:firstLineChars="200"/>
        <w:jc w:val="both"/>
        <w:textAlignment w:val="auto"/>
        <w:outlineLvl w:val="9"/>
        <w:rPr>
          <w:rFonts w:hint="eastAsia" w:ascii="黑体" w:hAnsi="黑体" w:eastAsia="黑体" w:cs="宋体"/>
          <w:bCs/>
          <w:sz w:val="32"/>
          <w:szCs w:val="32"/>
        </w:rPr>
      </w:pPr>
      <w:r>
        <w:rPr>
          <w:rFonts w:hint="eastAsia" w:ascii="黑体" w:hAnsi="黑体" w:eastAsia="黑体" w:cs="宋体"/>
          <w:sz w:val="32"/>
          <w:szCs w:val="32"/>
        </w:rPr>
        <w:t>五、</w:t>
      </w:r>
      <w:r>
        <w:rPr>
          <w:rFonts w:hint="eastAsia" w:ascii="黑体" w:hAnsi="黑体" w:eastAsia="黑体" w:cs="宋体"/>
          <w:bCs/>
          <w:sz w:val="32"/>
          <w:szCs w:val="32"/>
        </w:rPr>
        <w:t>保障措施</w:t>
      </w:r>
    </w:p>
    <w:p w14:paraId="49DC7958">
      <w:pPr>
        <w:keepNext w:val="0"/>
        <w:keepLines w:val="0"/>
        <w:pageBreakBefore w:val="0"/>
        <w:widowControl w:val="0"/>
        <w:kinsoku/>
        <w:wordWrap/>
        <w:overflowPunct/>
        <w:topLinePunct w:val="0"/>
        <w:bidi w:val="0"/>
        <w:snapToGrid/>
        <w:spacing w:line="560" w:lineRule="exact"/>
        <w:ind w:firstLine="640" w:firstLineChars="200"/>
        <w:jc w:val="both"/>
        <w:textAlignment w:val="auto"/>
        <w:outlineLvl w:val="9"/>
        <w:rPr>
          <w:rFonts w:hint="eastAsia" w:ascii="仿宋_GB2312" w:hAnsi="宋体" w:eastAsia="仿宋_GB2312" w:cs="宋体"/>
          <w:sz w:val="32"/>
          <w:szCs w:val="32"/>
        </w:rPr>
      </w:pPr>
      <w:r>
        <w:rPr>
          <w:rFonts w:hint="eastAsia" w:ascii="仿宋_GB2312" w:hAnsi="宋体" w:eastAsia="仿宋_GB2312" w:cs="宋体"/>
          <w:sz w:val="32"/>
          <w:szCs w:val="32"/>
        </w:rPr>
        <w:t>（一）高度重视全</w:t>
      </w:r>
      <w:r>
        <w:rPr>
          <w:rFonts w:hint="eastAsia" w:ascii="仿宋_GB2312" w:hAnsi="宋体" w:eastAsia="仿宋_GB2312" w:cs="宋体"/>
          <w:sz w:val="32"/>
          <w:szCs w:val="32"/>
          <w:lang w:eastAsia="zh-CN"/>
        </w:rPr>
        <w:t>县工业领域专项发展规划</w:t>
      </w:r>
      <w:r>
        <w:rPr>
          <w:rFonts w:hint="eastAsia" w:ascii="仿宋_GB2312" w:hAnsi="宋体" w:eastAsia="仿宋_GB2312" w:cs="宋体"/>
          <w:sz w:val="32"/>
          <w:szCs w:val="32"/>
        </w:rPr>
        <w:t>编制工作。成立编制领导小组，负责指导督促规划编制工作。</w:t>
      </w:r>
    </w:p>
    <w:p w14:paraId="38E8F86A">
      <w:pPr>
        <w:keepNext w:val="0"/>
        <w:keepLines w:val="0"/>
        <w:pageBreakBefore w:val="0"/>
        <w:widowControl w:val="0"/>
        <w:kinsoku/>
        <w:wordWrap/>
        <w:overflowPunct/>
        <w:topLinePunct w:val="0"/>
        <w:bidi w:val="0"/>
        <w:snapToGrid/>
        <w:spacing w:line="560" w:lineRule="exact"/>
        <w:ind w:firstLine="640" w:firstLineChars="200"/>
        <w:jc w:val="both"/>
        <w:textAlignment w:val="auto"/>
        <w:outlineLvl w:val="9"/>
        <w:rPr>
          <w:rFonts w:hint="eastAsia" w:ascii="仿宋_GB2312" w:hAnsi="宋体" w:eastAsia="仿宋_GB2312" w:cs="宋体"/>
          <w:sz w:val="32"/>
          <w:szCs w:val="32"/>
        </w:rPr>
      </w:pPr>
      <w:r>
        <w:rPr>
          <w:rFonts w:hint="eastAsia" w:ascii="仿宋_GB2312" w:hAnsi="宋体" w:eastAsia="仿宋_GB2312" w:cs="宋体"/>
          <w:sz w:val="32"/>
          <w:szCs w:val="32"/>
        </w:rPr>
        <w:t>（二）建立科学的规划框架体系。确定规划纲要和各专项规划组成的框架体系，增强全</w:t>
      </w:r>
      <w:r>
        <w:rPr>
          <w:rFonts w:hint="eastAsia" w:ascii="仿宋_GB2312" w:hAnsi="宋体" w:eastAsia="仿宋_GB2312" w:cs="宋体"/>
          <w:sz w:val="32"/>
          <w:szCs w:val="32"/>
          <w:lang w:eastAsia="zh-CN"/>
        </w:rPr>
        <w:t>县工业领域专项发展规划</w:t>
      </w:r>
      <w:r>
        <w:rPr>
          <w:rFonts w:hint="eastAsia" w:ascii="仿宋_GB2312" w:hAnsi="宋体" w:eastAsia="仿宋_GB2312" w:cs="宋体"/>
          <w:sz w:val="32"/>
          <w:szCs w:val="32"/>
        </w:rPr>
        <w:t>的现实指导作用。</w:t>
      </w:r>
    </w:p>
    <w:p w14:paraId="330BB507">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both"/>
        <w:textAlignment w:val="auto"/>
        <w:outlineLvl w:val="9"/>
        <w:rPr>
          <w:rFonts w:hint="eastAsia" w:ascii="仿宋_GB2312" w:hAnsi="宋体" w:eastAsia="仿宋_GB2312" w:cs="宋体"/>
          <w:color w:val="000000"/>
          <w:kern w:val="0"/>
          <w:sz w:val="32"/>
          <w:szCs w:val="32"/>
          <w:lang w:val="zh-CN"/>
        </w:rPr>
      </w:pPr>
      <w:r>
        <w:rPr>
          <w:rFonts w:hint="eastAsia" w:ascii="仿宋_GB2312" w:hAnsi="宋体" w:eastAsia="仿宋_GB2312" w:cs="宋体"/>
          <w:sz w:val="32"/>
          <w:szCs w:val="32"/>
        </w:rPr>
        <w:t>（三）</w:t>
      </w:r>
      <w:r>
        <w:rPr>
          <w:rFonts w:hint="eastAsia" w:ascii="仿宋_GB2312" w:hAnsi="宋体" w:eastAsia="仿宋_GB2312" w:cs="宋体"/>
          <w:color w:val="000000"/>
          <w:kern w:val="0"/>
          <w:sz w:val="32"/>
          <w:szCs w:val="32"/>
          <w:lang w:val="zh-CN"/>
        </w:rPr>
        <w:t>强化人才队伍建设。加强对行业从业人员培训，提升人员素质和水平，促进行业发展规划顺利实施。</w:t>
      </w:r>
    </w:p>
    <w:p w14:paraId="0D61EC12">
      <w:pPr>
        <w:keepNext w:val="0"/>
        <w:keepLines w:val="0"/>
        <w:pageBreakBefore w:val="0"/>
        <w:widowControl w:val="0"/>
        <w:kinsoku/>
        <w:wordWrap/>
        <w:overflowPunct/>
        <w:topLinePunct w:val="0"/>
        <w:bidi w:val="0"/>
        <w:snapToGrid/>
        <w:spacing w:line="560" w:lineRule="exact"/>
        <w:ind w:firstLine="640" w:firstLineChars="200"/>
        <w:jc w:val="both"/>
        <w:textAlignment w:val="auto"/>
        <w:outlineLvl w:val="9"/>
        <w:rPr>
          <w:rFonts w:hint="eastAsia" w:ascii="黑体" w:hAnsi="黑体" w:eastAsia="黑体" w:cs="宋体"/>
          <w:sz w:val="32"/>
          <w:szCs w:val="32"/>
        </w:rPr>
      </w:pPr>
      <w:r>
        <w:rPr>
          <w:rFonts w:hint="eastAsia" w:ascii="黑体" w:hAnsi="黑体" w:eastAsia="黑体" w:cs="宋体"/>
          <w:sz w:val="32"/>
          <w:szCs w:val="32"/>
        </w:rPr>
        <w:t>六、主要依据</w:t>
      </w:r>
    </w:p>
    <w:p w14:paraId="1D809203">
      <w:pPr>
        <w:keepNext w:val="0"/>
        <w:keepLines w:val="0"/>
        <w:pageBreakBefore w:val="0"/>
        <w:widowControl w:val="0"/>
        <w:kinsoku/>
        <w:wordWrap/>
        <w:overflowPunct/>
        <w:topLinePunct w:val="0"/>
        <w:bidi w:val="0"/>
        <w:snapToGrid/>
        <w:spacing w:line="560" w:lineRule="exact"/>
        <w:ind w:firstLine="640" w:firstLineChars="200"/>
        <w:jc w:val="both"/>
        <w:textAlignment w:val="auto"/>
        <w:outlineLvl w:val="9"/>
        <w:rPr>
          <w:rFonts w:hint="eastAsia" w:ascii="仿宋_GB2312" w:hAnsi="宋体" w:eastAsia="仿宋_GB2312" w:cs="宋体"/>
          <w:color w:val="000000"/>
          <w:kern w:val="0"/>
          <w:sz w:val="32"/>
          <w:szCs w:val="32"/>
          <w:lang w:val="zh-CN"/>
        </w:rPr>
      </w:pPr>
      <w:r>
        <w:rPr>
          <w:rFonts w:hint="eastAsia" w:ascii="仿宋_GB2312" w:hAnsi="宋体" w:eastAsia="仿宋_GB2312" w:cs="宋体"/>
          <w:color w:val="000000"/>
          <w:kern w:val="0"/>
          <w:sz w:val="32"/>
          <w:szCs w:val="32"/>
          <w:lang w:val="zh-CN"/>
        </w:rPr>
        <w:t>《安徽省发展新型墙体材料条例》第五条、第九条。</w:t>
      </w:r>
    </w:p>
    <w:p w14:paraId="46E4480C">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2000000000000000000"/>
    <w:charset w:val="86"/>
    <w:family w:val="auto"/>
    <w:pitch w:val="default"/>
    <w:sig w:usb0="00000000" w:usb1="00000000" w:usb2="00000012"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kMTE2MDY1YjBhZTliODY2MjhhMzAyMjhkZGFjNjIifQ=="/>
  </w:docVars>
  <w:rsids>
    <w:rsidRoot w:val="37BD6A72"/>
    <w:rsid w:val="37BD6A72"/>
    <w:rsid w:val="459C48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1322</Words>
  <Characters>1343</Characters>
  <Lines>0</Lines>
  <Paragraphs>0</Paragraphs>
  <TotalTime>6</TotalTime>
  <ScaleCrop>false</ScaleCrop>
  <LinksUpToDate>false</LinksUpToDate>
  <CharactersWithSpaces>1343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2024-01-18T07:18:00Z</dcterms:created>
  <dc:creator>沉默的小布芬</dc:creator>
  <cp:lastModifiedBy>沉默的小布芬</cp:lastModifiedBy>
  <dcterms:modified xsi:type="dcterms:W3CDTF">2026-02-10T08:13:41Z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E8596171416643B486216EA3D29DE148_11</vt:lpwstr>
  </property>
  <property fmtid="{D5CDD505-2E9C-101B-9397-08002B2CF9AE}" pid="4" name="KSOTemplateDocerSaveRecord">
    <vt:lpwstr>eyJoZGlkIjoiZDdkMTE2MDY1YjBhZTliODY2MjhhMzAyMjhkZGFjNjIiLCJ1c2VySWQiOiI5ODc1Mzc4MjcifQ==</vt:lpwstr>
  </property>
</Properties>
</file>