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EA15F">
      <w:pPr>
        <w:numPr>
          <w:ilvl w:val="0"/>
          <w:numId w:val="0"/>
        </w:numPr>
        <w:spacing w:line="560" w:lineRule="exact"/>
        <w:jc w:val="center"/>
        <w:rPr>
          <w:rFonts w:hint="eastAsia" w:asciiTheme="minorEastAsia" w:hAnsiTheme="minorEastAsia" w:eastAsiaTheme="minorEastAsia" w:cstheme="minorEastAsia"/>
          <w:b/>
          <w:bCs/>
          <w:spacing w:val="-20"/>
          <w:sz w:val="44"/>
          <w:szCs w:val="44"/>
        </w:rPr>
      </w:pPr>
      <w:r>
        <w:rPr>
          <w:rFonts w:hint="eastAsia" w:asciiTheme="minorEastAsia" w:hAnsiTheme="minorEastAsia" w:eastAsiaTheme="minorEastAsia" w:cstheme="minorEastAsia"/>
          <w:b/>
          <w:bCs/>
          <w:spacing w:val="-20"/>
          <w:sz w:val="44"/>
          <w:szCs w:val="44"/>
          <w:lang w:val="en-US" w:eastAsia="zh-CN"/>
        </w:rPr>
        <w:t>38.</w:t>
      </w:r>
      <w:r>
        <w:rPr>
          <w:rFonts w:hint="eastAsia" w:asciiTheme="minorEastAsia" w:hAnsiTheme="minorEastAsia" w:eastAsiaTheme="minorEastAsia" w:cstheme="minorEastAsia"/>
          <w:b/>
          <w:bCs/>
          <w:spacing w:val="-20"/>
          <w:sz w:val="44"/>
          <w:szCs w:val="44"/>
        </w:rPr>
        <w:t>保障性住房合同管理核准、保障性住房使用和退出管理核准事中、事后</w:t>
      </w:r>
    </w:p>
    <w:p w14:paraId="7E2F6BDE">
      <w:pPr>
        <w:numPr>
          <w:ilvl w:val="0"/>
          <w:numId w:val="0"/>
        </w:numPr>
        <w:spacing w:line="560"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pacing w:val="-20"/>
          <w:sz w:val="44"/>
          <w:szCs w:val="44"/>
        </w:rPr>
        <w:t>监管细则</w:t>
      </w:r>
    </w:p>
    <w:p w14:paraId="67797C0F">
      <w:pPr>
        <w:spacing w:line="560" w:lineRule="exact"/>
        <w:jc w:val="center"/>
        <w:rPr>
          <w:rFonts w:ascii="方正小标宋简体" w:hAnsi="方正小标宋简体" w:eastAsia="方正小标宋简体" w:cs="方正小标宋简体"/>
          <w:color w:val="C00000"/>
          <w:sz w:val="44"/>
          <w:szCs w:val="44"/>
        </w:rPr>
      </w:pPr>
    </w:p>
    <w:p w14:paraId="0A9D3B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lang w:val="zh-CN"/>
        </w:rPr>
        <w:t>为深入推进简政放权、放管结合、优化服务，加强</w:t>
      </w:r>
      <w:r>
        <w:rPr>
          <w:rFonts w:hint="eastAsia" w:ascii="仿宋" w:hAnsi="仿宋" w:eastAsia="仿宋" w:cs="仿宋_GB2312"/>
          <w:sz w:val="32"/>
          <w:szCs w:val="32"/>
        </w:rPr>
        <w:t>对</w:t>
      </w:r>
      <w:r>
        <w:rPr>
          <w:rFonts w:hint="eastAsia" w:ascii="仿宋" w:hAnsi="仿宋" w:eastAsia="仿宋" w:cs="方正小标宋简体"/>
          <w:sz w:val="32"/>
          <w:szCs w:val="32"/>
        </w:rPr>
        <w:t>保障性住房合同管理核准、保障性住房使用和退出管理核准</w:t>
      </w:r>
      <w:r>
        <w:rPr>
          <w:rFonts w:hint="eastAsia" w:ascii="仿宋" w:hAnsi="仿宋" w:eastAsia="仿宋" w:cs="仿宋_GB2312"/>
          <w:sz w:val="32"/>
          <w:szCs w:val="32"/>
        </w:rPr>
        <w:t>的监管，规范政府权</w:t>
      </w:r>
      <w:r>
        <w:rPr>
          <w:rFonts w:hint="eastAsia" w:ascii="仿宋" w:hAnsi="仿宋" w:eastAsia="仿宋" w:cs="仿宋_GB2312"/>
          <w:sz w:val="32"/>
          <w:szCs w:val="32"/>
          <w:lang w:val="zh-CN"/>
        </w:rPr>
        <w:t>力运行，</w:t>
      </w:r>
      <w:r>
        <w:rPr>
          <w:rFonts w:hint="eastAsia" w:ascii="仿宋" w:hAnsi="仿宋" w:eastAsia="仿宋" w:cs="仿宋_GB2312"/>
          <w:sz w:val="32"/>
          <w:szCs w:val="32"/>
        </w:rPr>
        <w:t>根据相关法律法规和《安徽省政府权力运行监督管理办法》，结合我县实际，制定本监管细则。</w:t>
      </w:r>
    </w:p>
    <w:p w14:paraId="710AC3D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方正小标宋简体"/>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bookmarkStart w:id="0" w:name="_GoBack"/>
      <w:bookmarkEnd w:id="0"/>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38</w:t>
      </w:r>
      <w:r>
        <w:rPr>
          <w:rFonts w:hint="eastAsia" w:ascii="仿宋" w:hAnsi="仿宋" w:eastAsia="仿宋" w:cs="仿宋_GB2312"/>
          <w:sz w:val="32"/>
          <w:szCs w:val="32"/>
        </w:rPr>
        <w:t>项，权利类型：</w:t>
      </w:r>
      <w:r>
        <w:rPr>
          <w:rFonts w:hint="eastAsia" w:ascii="仿宋" w:hAnsi="仿宋" w:eastAsia="仿宋" w:cs="仿宋_GB2312"/>
          <w:sz w:val="32"/>
          <w:szCs w:val="32"/>
          <w:lang w:eastAsia="zh-CN"/>
        </w:rPr>
        <w:t>其他权力</w:t>
      </w:r>
      <w:r>
        <w:rPr>
          <w:rFonts w:hint="eastAsia" w:ascii="仿宋" w:hAnsi="仿宋" w:eastAsia="仿宋" w:cs="仿宋_GB2312"/>
          <w:sz w:val="32"/>
          <w:szCs w:val="32"/>
        </w:rPr>
        <w:t>，项目名称：</w:t>
      </w:r>
      <w:r>
        <w:rPr>
          <w:rFonts w:hint="eastAsia" w:ascii="仿宋" w:hAnsi="仿宋" w:eastAsia="仿宋" w:cs="方正小标宋简体"/>
          <w:sz w:val="32"/>
          <w:szCs w:val="32"/>
        </w:rPr>
        <w:t>保障性住房合同管理核准、保障性住房使用和退出管理核准。</w:t>
      </w:r>
    </w:p>
    <w:p w14:paraId="67E632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一、监管要求</w:t>
      </w:r>
    </w:p>
    <w:p w14:paraId="5BCEF9A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为我县行政区域内保障性住房合同管理核准、保障性住房使用管理核准和保障性住房退出管理核准管理机关，具体负责县域内保障性住房合同管理核准、保障性住房使用管理核准和保障性住房退出管理核准。</w:t>
      </w:r>
    </w:p>
    <w:p w14:paraId="306BE7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_GB2312"/>
          <w:bCs/>
          <w:sz w:val="32"/>
          <w:szCs w:val="32"/>
          <w:lang w:eastAsia="zh-CN"/>
        </w:rPr>
      </w:pPr>
      <w:r>
        <w:rPr>
          <w:rFonts w:hint="eastAsia" w:ascii="仿宋" w:hAnsi="仿宋" w:eastAsia="仿宋" w:cs="仿宋_GB2312"/>
          <w:bCs/>
          <w:sz w:val="32"/>
          <w:szCs w:val="32"/>
        </w:rPr>
        <w:t>（一）审查申报资料是否齐全。</w:t>
      </w:r>
    </w:p>
    <w:p w14:paraId="2F29DF5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sz w:val="32"/>
          <w:szCs w:val="32"/>
        </w:rPr>
        <w:t>符合受理条件的，依法受理；不符合受理条件的，告知理由；申请材料齐全、符合法定形式的，做出审批；可要补正材料的，一次性告知。</w:t>
      </w:r>
    </w:p>
    <w:p w14:paraId="320D740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宋体"/>
          <w:kern w:val="0"/>
          <w:sz w:val="24"/>
        </w:rPr>
      </w:pPr>
      <w:r>
        <w:rPr>
          <w:rFonts w:hint="eastAsia" w:ascii="仿宋" w:hAnsi="仿宋" w:eastAsia="仿宋" w:cs="仿宋_GB2312"/>
          <w:bCs/>
          <w:sz w:val="32"/>
          <w:szCs w:val="32"/>
        </w:rPr>
        <w:t>（二）利害关系审查。</w:t>
      </w:r>
    </w:p>
    <w:p w14:paraId="2A5B018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bCs/>
          <w:sz w:val="32"/>
          <w:szCs w:val="32"/>
        </w:rPr>
        <w:t>杜绝不正当竞争及可能发生的利益确认、人情确认。保证</w:t>
      </w:r>
      <w:r>
        <w:rPr>
          <w:rFonts w:hint="eastAsia" w:ascii="仿宋" w:hAnsi="仿宋" w:eastAsia="仿宋" w:cs="仿宋_GB2312"/>
          <w:sz w:val="32"/>
          <w:szCs w:val="32"/>
        </w:rPr>
        <w:t>保障性住房合同管理核准、保障性住房使用管理核准和保障性住房退出管理核准健康平稳运行。</w:t>
      </w:r>
    </w:p>
    <w:p w14:paraId="63757AD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二、监管措施 </w:t>
      </w:r>
    </w:p>
    <w:p w14:paraId="7F14B1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bCs/>
          <w:sz w:val="32"/>
          <w:szCs w:val="32"/>
        </w:rPr>
      </w:pPr>
      <w:r>
        <w:rPr>
          <w:rFonts w:hint="eastAsia" w:ascii="仿宋" w:hAnsi="仿宋" w:eastAsia="仿宋" w:cs="仿宋_GB2312"/>
          <w:bCs/>
          <w:sz w:val="32"/>
          <w:szCs w:val="32"/>
        </w:rPr>
        <w:t>（一）材料审查。</w:t>
      </w:r>
    </w:p>
    <w:p w14:paraId="2E10341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bCs/>
          <w:sz w:val="32"/>
          <w:szCs w:val="32"/>
        </w:rPr>
      </w:pPr>
      <w:r>
        <w:rPr>
          <w:rFonts w:hint="eastAsia" w:ascii="仿宋" w:hAnsi="仿宋" w:eastAsia="仿宋" w:cs="仿宋_GB2312"/>
          <w:sz w:val="32"/>
          <w:szCs w:val="32"/>
        </w:rPr>
        <w:t>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按规定程序受理在我县行政区域内城保障性住房合同管理核准、保障性住房使用管理核准和保障性住房退出管理核准的申报材料，对申报材料进行合规性审查；审查通过后</w:t>
      </w:r>
      <w:r>
        <w:rPr>
          <w:rFonts w:hint="eastAsia" w:ascii="仿宋" w:hAnsi="仿宋" w:eastAsia="仿宋" w:cs="仿宋_GB2312"/>
          <w:bCs/>
          <w:sz w:val="32"/>
          <w:szCs w:val="32"/>
        </w:rPr>
        <w:t>，出具审核通过意见。</w:t>
      </w:r>
    </w:p>
    <w:p w14:paraId="4E52914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bCs/>
          <w:sz w:val="32"/>
          <w:szCs w:val="32"/>
        </w:rPr>
      </w:pPr>
      <w:r>
        <w:rPr>
          <w:rFonts w:hint="eastAsia" w:ascii="仿宋" w:hAnsi="仿宋" w:eastAsia="仿宋" w:cs="仿宋_GB2312"/>
          <w:bCs/>
          <w:sz w:val="32"/>
          <w:szCs w:val="32"/>
        </w:rPr>
        <w:t>（二）对行政权力行使人的监管</w:t>
      </w:r>
    </w:p>
    <w:p w14:paraId="2425B42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_GB2312"/>
          <w:sz w:val="32"/>
          <w:szCs w:val="32"/>
          <w:lang w:eastAsia="zh-CN"/>
        </w:rPr>
      </w:pPr>
      <w:r>
        <w:rPr>
          <w:rFonts w:hint="eastAsia" w:ascii="仿宋" w:hAnsi="仿宋" w:eastAsia="仿宋" w:cs="仿宋_GB2312"/>
          <w:sz w:val="32"/>
          <w:szCs w:val="32"/>
        </w:rPr>
        <w:t>制定规范的权力运行流程图、行政审批材料规范，所有权力行使必须严格依照规定执行，局办公室全程参与监督，发现违规行为，及时依法予以纠正查处。</w:t>
      </w:r>
    </w:p>
    <w:p w14:paraId="13B7D1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 三、责任追究</w:t>
      </w:r>
    </w:p>
    <w:p w14:paraId="0A891D4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因不履行或不正确履行行政职责，有下列情形的，行政机关及相关工作人员应承担相应责任：</w:t>
      </w:r>
    </w:p>
    <w:p w14:paraId="3BBC2C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1.对不符合保障性住房合同管理、保障性住房使用管理和保障性住房退出管理对象给予保障措施的；对符合条件不给予保障措施的。</w:t>
      </w:r>
    </w:p>
    <w:p w14:paraId="4A3E17C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2.不按规定的流程给予保障的；</w:t>
      </w:r>
    </w:p>
    <w:p w14:paraId="4A4B71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3.滥用职权、玩忽职守、徇私舞弊的，依法给予处分；构成犯罪的，依法追究刑事责任；</w:t>
      </w:r>
    </w:p>
    <w:p w14:paraId="4C96F14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4.其他违反法律法规规章文件规定的行为。</w:t>
      </w:r>
    </w:p>
    <w:p w14:paraId="77C6C0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主要依据</w:t>
      </w:r>
    </w:p>
    <w:p w14:paraId="0FDB25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1.</w:t>
      </w:r>
      <w:r>
        <w:rPr>
          <w:rFonts w:hint="eastAsia"/>
        </w:rPr>
        <w:t xml:space="preserve"> </w:t>
      </w:r>
      <w:r>
        <w:rPr>
          <w:rFonts w:hint="eastAsia" w:ascii="仿宋" w:hAnsi="仿宋" w:eastAsia="仿宋" w:cs="仿宋_GB2312"/>
          <w:sz w:val="32"/>
          <w:szCs w:val="32"/>
        </w:rPr>
        <w:t>《公共租赁住房管理办法》（2012年5月28日住房和城乡建设部令第11号）第九条、第二十八条</w:t>
      </w:r>
    </w:p>
    <w:p w14:paraId="69E882B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 w:hAnsi="仿宋" w:eastAsia="仿宋" w:cs="仿宋_GB2312"/>
          <w:sz w:val="32"/>
          <w:szCs w:val="32"/>
        </w:rPr>
        <w:t>2.</w:t>
      </w:r>
      <w:r>
        <w:rPr>
          <w:rFonts w:hint="eastAsia"/>
        </w:rPr>
        <w:t xml:space="preserve"> </w:t>
      </w:r>
      <w:r>
        <w:rPr>
          <w:rFonts w:hint="eastAsia" w:ascii="仿宋" w:hAnsi="仿宋" w:eastAsia="仿宋" w:cs="仿宋_GB2312"/>
          <w:sz w:val="32"/>
          <w:szCs w:val="32"/>
        </w:rPr>
        <w:t>《安徽省保障性住房建设和管理办法（试行）》（2013安徽省政府令248号）第二十一条、第二十二条、第二十九条、第三十三条。</w:t>
      </w:r>
    </w:p>
    <w:p w14:paraId="47B8738F">
      <w:pPr>
        <w:keepNext w:val="0"/>
        <w:keepLines w:val="0"/>
        <w:pageBreakBefore w:val="0"/>
        <w:kinsoku/>
        <w:wordWrap/>
        <w:overflowPunct/>
        <w:topLinePunct w:val="0"/>
        <w:autoSpaceDE/>
        <w:autoSpaceDN/>
        <w:bidi w:val="0"/>
        <w:adjustRightInd/>
        <w:snapToGrid/>
        <w:spacing w:line="560" w:lineRule="exact"/>
        <w:ind w:firstLine="880" w:firstLineChars="200"/>
        <w:jc w:val="both"/>
        <w:textAlignment w:val="auto"/>
        <w:rPr>
          <w:rFonts w:hint="eastAsia" w:ascii="方正小标宋简体" w:hAnsi="方正小标宋简体" w:eastAsia="方正小标宋简体" w:cs="方正小标宋简体"/>
          <w:sz w:val="44"/>
          <w:szCs w:val="44"/>
        </w:rPr>
      </w:pPr>
    </w:p>
    <w:p w14:paraId="741D0E18">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6E3537BA">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0EB046CA">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62E7207D">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261D28FD">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037834EB">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392829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A4C6C91"/>
    <w:rsid w:val="1A4C6C91"/>
    <w:rsid w:val="3E3C6B87"/>
    <w:rsid w:val="BE7EE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951</Words>
  <Characters>973</Characters>
  <Lines>0</Lines>
  <Paragraphs>0</Paragraphs>
  <TotalTime>0</TotalTime>
  <ScaleCrop>false</ScaleCrop>
  <LinksUpToDate>false</LinksUpToDate>
  <CharactersWithSpaces>977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2024-01-19T09:01:00Z</dcterms:created>
  <dc:creator>沉默的小布芬</dc:creator>
  <cp:lastModifiedBy>QM-536</cp:lastModifiedBy>
  <dcterms:modified xsi:type="dcterms:W3CDTF">2026-02-10T15:53:16Z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D952A4FCA8617C6AECE38A69251834F7_43</vt:lpwstr>
  </property>
</Properties>
</file>