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A8D50">
      <w:pPr>
        <w:pStyle w:val="2"/>
        <w:numPr>
          <w:numId w:val="0"/>
        </w:numPr>
        <w:shd w:val="clear" w:color="auto" w:fill="FFFFFF"/>
        <w:spacing w:before="0" w:beforeAutospacing="0" w:after="0" w:afterAutospacing="0"/>
        <w:jc w:val="center"/>
        <w:rPr>
          <w:rFonts w:hint="eastAsia"/>
          <w:b/>
          <w:bCs/>
          <w:sz w:val="44"/>
          <w:szCs w:val="44"/>
        </w:rPr>
      </w:pPr>
      <w:r>
        <w:rPr>
          <w:rFonts w:hint="eastAsia"/>
          <w:b/>
          <w:bCs/>
          <w:sz w:val="44"/>
          <w:szCs w:val="44"/>
          <w:lang w:val="en-US" w:eastAsia="zh-CN"/>
        </w:rPr>
        <w:t>36.</w:t>
      </w:r>
      <w:r>
        <w:rPr>
          <w:rFonts w:hint="eastAsia"/>
          <w:b/>
          <w:bCs/>
          <w:sz w:val="44"/>
          <w:szCs w:val="44"/>
        </w:rPr>
        <w:t>申请保障性住房或者住房租赁补贴</w:t>
      </w:r>
    </w:p>
    <w:p w14:paraId="37469D13">
      <w:pPr>
        <w:pStyle w:val="2"/>
        <w:numPr>
          <w:ilvl w:val="0"/>
          <w:numId w:val="0"/>
        </w:numPr>
        <w:shd w:val="clear" w:color="auto" w:fill="FFFFFF"/>
        <w:spacing w:before="0" w:beforeAutospacing="0" w:after="0" w:afterAutospacing="0"/>
        <w:jc w:val="center"/>
        <w:rPr>
          <w:b/>
          <w:bCs/>
          <w:sz w:val="44"/>
          <w:szCs w:val="44"/>
        </w:rPr>
      </w:pPr>
      <w:r>
        <w:rPr>
          <w:rFonts w:hint="eastAsia"/>
          <w:b/>
          <w:bCs/>
          <w:sz w:val="44"/>
          <w:szCs w:val="44"/>
        </w:rPr>
        <w:t>审核事中事后监管细则</w:t>
      </w:r>
    </w:p>
    <w:p w14:paraId="1ED68E04">
      <w:pPr>
        <w:pStyle w:val="2"/>
        <w:shd w:val="clear" w:color="auto" w:fill="FFFFFF"/>
        <w:spacing w:before="0" w:beforeAutospacing="0" w:after="0" w:afterAutospacing="0"/>
        <w:ind w:firstLine="480"/>
        <w:jc w:val="center"/>
        <w:rPr>
          <w:sz w:val="44"/>
          <w:szCs w:val="44"/>
        </w:rPr>
      </w:pPr>
    </w:p>
    <w:p w14:paraId="10D7CF1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为深入推进简政放权、放管结合、优化服务，加强对“申请保障性住房或者住房租赁补贴”事中事后监管工作，规范政府权力运行，根据相关法律法规和《安徽省政府权力运行监督管理办法》，结合工作实际，制定本监管细则。</w:t>
      </w:r>
    </w:p>
    <w:p w14:paraId="0E8D789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sz w:val="32"/>
          <w:szCs w:val="32"/>
        </w:rPr>
        <w:t>第</w:t>
      </w:r>
      <w:r>
        <w:rPr>
          <w:rFonts w:hint="eastAsia" w:ascii="仿宋" w:hAnsi="仿宋" w:eastAsia="仿宋"/>
          <w:sz w:val="32"/>
          <w:szCs w:val="32"/>
          <w:lang w:val="en-US" w:eastAsia="zh-CN"/>
        </w:rPr>
        <w:t>36</w:t>
      </w:r>
      <w:r>
        <w:rPr>
          <w:rFonts w:hint="eastAsia" w:ascii="仿宋" w:hAnsi="仿宋" w:eastAsia="仿宋"/>
          <w:sz w:val="32"/>
          <w:szCs w:val="32"/>
        </w:rPr>
        <w:t>项，权力类型：行政给付，项目名称：申请保障性住房或者住房租赁补贴审核。</w:t>
      </w:r>
      <w:bookmarkStart w:id="0" w:name="_GoBack"/>
      <w:bookmarkEnd w:id="0"/>
    </w:p>
    <w:p w14:paraId="68D73DB6">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黑体" w:hAnsi="黑体" w:eastAsia="黑体" w:cs="黑体"/>
          <w:b w:val="0"/>
          <w:bCs w:val="0"/>
          <w:sz w:val="32"/>
          <w:szCs w:val="32"/>
        </w:rPr>
      </w:pPr>
      <w:r>
        <w:rPr>
          <w:rStyle w:val="5"/>
          <w:rFonts w:hint="eastAsia" w:ascii="黑体" w:hAnsi="黑体" w:eastAsia="黑体" w:cs="黑体"/>
          <w:b w:val="0"/>
          <w:bCs w:val="0"/>
          <w:sz w:val="32"/>
          <w:szCs w:val="32"/>
        </w:rPr>
        <w:t>一、监管要求</w:t>
      </w:r>
    </w:p>
    <w:p w14:paraId="6BD9E362">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根据《安徽省保障性住房建设和管理办法（试行）》等有关法律、法规、规章，当祁门县住建局房管中心负责本县县城行政区域内符合脚尖的住房保障对象提供的，具有保障性质的廉租住房、公共租赁住房。</w:t>
      </w:r>
    </w:p>
    <w:p w14:paraId="709091F1">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Style w:val="5"/>
          <w:rFonts w:hint="eastAsia" w:ascii="黑体" w:hAnsi="黑体" w:eastAsia="黑体" w:cs="黑体"/>
          <w:b w:val="0"/>
          <w:bCs w:val="0"/>
          <w:sz w:val="32"/>
          <w:szCs w:val="32"/>
        </w:rPr>
      </w:pPr>
      <w:r>
        <w:rPr>
          <w:rStyle w:val="5"/>
          <w:rFonts w:hint="eastAsia" w:ascii="黑体" w:hAnsi="黑体" w:eastAsia="黑体" w:cs="黑体"/>
          <w:b w:val="0"/>
          <w:bCs w:val="0"/>
          <w:sz w:val="32"/>
          <w:szCs w:val="32"/>
        </w:rPr>
        <w:t>二、事中监管</w:t>
      </w:r>
    </w:p>
    <w:p w14:paraId="2941B176">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(一)审批管理</w:t>
      </w:r>
    </w:p>
    <w:p w14:paraId="1AB6F680">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申报受理。申请人在户籍所在社区进行申报，社区进行初审并将信息录入安徽省住房保障管理系统，申请人填写相关表格，形成初步审查意见。</w:t>
      </w:r>
    </w:p>
    <w:p w14:paraId="6E7C7DA6">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（二）运行监督</w:t>
      </w:r>
    </w:p>
    <w:p w14:paraId="59CDA56C">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1.落实岗位职责。按照权责一致、有权必有责的要求，祁门县住建局房管中心根据保障性住房对象资格岗位职责定位和工作任务，落实责任主体，规范职责权限，明确相应责任。</w:t>
      </w:r>
    </w:p>
    <w:p w14:paraId="0052C5A6">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2.规范审批行为。当涂县住房和城乡建设委员会具体明确办理条件、申报材料、办理程序等，并通过当涂县住房和城乡建设委员会网站发布，接受社会监督。</w:t>
      </w:r>
    </w:p>
    <w:p w14:paraId="536CDF27">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3.加强风险防控。本着用权必受监督的要求，当涂县住房和城乡建设委员会编制保障性住房申请、审核流程图，明确表现形式，制定防控措施，对保障性住房对象申请、审核进行全程、实时监控。</w:t>
      </w:r>
    </w:p>
    <w:p w14:paraId="17C31771">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Style w:val="5"/>
          <w:rFonts w:hint="eastAsia" w:ascii="黑体" w:hAnsi="黑体" w:eastAsia="黑体" w:cs="黑体"/>
          <w:b w:val="0"/>
          <w:bCs w:val="0"/>
          <w:sz w:val="32"/>
          <w:szCs w:val="32"/>
        </w:rPr>
      </w:pPr>
      <w:r>
        <w:rPr>
          <w:rStyle w:val="5"/>
          <w:rFonts w:hint="eastAsia" w:ascii="黑体" w:hAnsi="黑体" w:eastAsia="黑体" w:cs="黑体"/>
          <w:b w:val="0"/>
          <w:bCs w:val="0"/>
          <w:sz w:val="32"/>
          <w:szCs w:val="32"/>
        </w:rPr>
        <w:t>三、事后监管</w:t>
      </w:r>
    </w:p>
    <w:p w14:paraId="29FCF3F4">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（一）监督检查。祁门县住建局房管中心，鼓励广大群众积极监督、举报。</w:t>
      </w:r>
      <w:r>
        <w:rPr>
          <w:rFonts w:hint="eastAsia" w:ascii="新宋体" w:hAnsi="新宋体" w:eastAsia="仿宋"/>
          <w:sz w:val="32"/>
          <w:szCs w:val="32"/>
        </w:rPr>
        <w:t>   </w:t>
      </w:r>
    </w:p>
    <w:p w14:paraId="022345C4">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（二）联动监管。</w:t>
      </w:r>
      <w:r>
        <w:rPr>
          <w:rFonts w:hint="eastAsia" w:ascii="仿宋" w:hAnsi="仿宋" w:eastAsia="仿宋"/>
          <w:sz w:val="32"/>
          <w:szCs w:val="32"/>
          <w:lang w:eastAsia="zh-CN"/>
        </w:rPr>
        <w:t>祁门</w:t>
      </w:r>
      <w:r>
        <w:rPr>
          <w:rFonts w:hint="eastAsia" w:ascii="仿宋" w:hAnsi="仿宋" w:eastAsia="仿宋"/>
          <w:sz w:val="32"/>
          <w:szCs w:val="32"/>
        </w:rPr>
        <w:t>县人民政府住房保障行政主管部门应当会同有关部门对保障对象的住房、人口、收入和财产变动情况，定期进行抽查。抽查结果作为调整保障性住房、住房租赁补贴和住房租金补助的依据。</w:t>
      </w:r>
    </w:p>
    <w:p w14:paraId="1FE5ABA4">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（三）违规处理。申请人隐瞒、虚报或者伪造住房、人口、收入和财产状况的，由县级以上人民政府住房保障行政主管部门驳回其申请，录入保障性住房基础信息管理平台。</w:t>
      </w:r>
    </w:p>
    <w:p w14:paraId="11D86D62">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对保障性住房建设和管理中的违法行为，任何单位和个人都有权举报和投诉。有关部门和单位收到举报、投诉后，应当按照各自职责依法调查处理，并答复举报、投诉人。</w:t>
      </w:r>
    </w:p>
    <w:p w14:paraId="139E5D41">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Style w:val="5"/>
          <w:rFonts w:hint="eastAsia" w:ascii="黑体" w:hAnsi="黑体" w:eastAsia="黑体" w:cs="黑体"/>
          <w:b w:val="0"/>
          <w:bCs w:val="0"/>
          <w:sz w:val="32"/>
          <w:szCs w:val="32"/>
        </w:rPr>
      </w:pPr>
      <w:r>
        <w:rPr>
          <w:rStyle w:val="5"/>
          <w:rFonts w:hint="eastAsia" w:ascii="黑体" w:hAnsi="黑体" w:eastAsia="黑体" w:cs="黑体"/>
          <w:b w:val="0"/>
          <w:bCs w:val="0"/>
          <w:sz w:val="32"/>
          <w:szCs w:val="32"/>
        </w:rPr>
        <w:t>四、责任追究</w:t>
      </w:r>
    </w:p>
    <w:p w14:paraId="0BB471D1">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在保障性住房对象资格审核中，县级以上人民政府住房保障行政主管部门和其他有关部门、社区和镇人民政府有下列行为之一的，对其直接负责的主管人员和其他直接责任人员，依法给予处分：</w:t>
      </w:r>
    </w:p>
    <w:p w14:paraId="4EA985AA">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（一）向不符合条件的申请人提供保障性住房或者发放住房租赁补贴的；　　</w:t>
      </w:r>
    </w:p>
    <w:p w14:paraId="6E97BF32">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（二）擅自变更保障方式、保障性住房面积标准以及保障性住房租赁、销售价格标准或者住房租赁补贴标准的；　　</w:t>
      </w:r>
    </w:p>
    <w:p w14:paraId="1072400B">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（三）未按规定建立保障性住房和保障对象档案的；　　</w:t>
      </w:r>
    </w:p>
    <w:p w14:paraId="4AA94AD5">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（四）未按规定公示或者公开保障对象、住房保障信息的；　　</w:t>
      </w:r>
    </w:p>
    <w:p w14:paraId="7C888F81">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（五）未按规定公示或者公开保障对象、住房保障信息的；</w:t>
      </w:r>
    </w:p>
    <w:p w14:paraId="79AD295D">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sz w:val="32"/>
          <w:szCs w:val="32"/>
        </w:rPr>
      </w:pPr>
      <w:r>
        <w:rPr>
          <w:rFonts w:hint="eastAsia" w:ascii="仿宋" w:hAnsi="仿宋" w:eastAsia="仿宋"/>
          <w:sz w:val="32"/>
          <w:szCs w:val="32"/>
        </w:rPr>
        <w:t>（六）对违法行为未及时依法处理的。</w:t>
      </w:r>
    </w:p>
    <w:p w14:paraId="601ED13E">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五、保障措施</w:t>
      </w:r>
    </w:p>
    <w:p w14:paraId="4A6402D6">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1、</w:t>
      </w:r>
      <w:r>
        <w:rPr>
          <w:rFonts w:hint="eastAsia" w:ascii="仿宋" w:hAnsi="仿宋" w:eastAsia="仿宋"/>
          <w:sz w:val="32"/>
          <w:szCs w:val="32"/>
          <w:lang w:val="zh-CN"/>
        </w:rPr>
        <w:t>实施“审批查”改革。按照简政放权、放管结合、转变职能的要求，推进“审、批、查”相互分离、相互衔接，切实加强事中事后监管力量，彻底解决“重审批轻监管”的问题。</w:t>
      </w:r>
    </w:p>
    <w:p w14:paraId="5FB655D2">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2、加强组织协调。强化组织领导，健全协调机制，落实监管措施，确保事中事后监管工作有序推进。</w:t>
      </w:r>
    </w:p>
    <w:p w14:paraId="49B0B8B2">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3、强化人员培训，加强对监管执法人员有关法律、法规、标准和专业知识与执法能力培训，并适时组织考核。</w:t>
      </w:r>
    </w:p>
    <w:p w14:paraId="45BFE42E">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4、加强内部监管，接受投诉举报，依法追究相关经办人员责任。</w:t>
      </w:r>
    </w:p>
    <w:p w14:paraId="5A3FF4C1">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六、主要依据</w:t>
      </w:r>
    </w:p>
    <w:p w14:paraId="20B73FDA">
      <w:pPr>
        <w:spacing w:line="560" w:lineRule="exact"/>
        <w:ind w:firstLine="640" w:firstLineChars="200"/>
        <w:rPr>
          <w:rFonts w:hint="eastAsia" w:ascii="仿宋" w:hAnsi="仿宋" w:eastAsia="仿宋" w:cs="黑体"/>
          <w:sz w:val="32"/>
          <w:szCs w:val="32"/>
          <w:lang w:eastAsia="zh-CN"/>
        </w:rPr>
      </w:pPr>
      <w:r>
        <w:rPr>
          <w:rFonts w:hint="eastAsia" w:ascii="仿宋" w:hAnsi="仿宋" w:eastAsia="仿宋" w:cs="黑体"/>
          <w:sz w:val="32"/>
          <w:szCs w:val="32"/>
        </w:rPr>
        <w:t>《安徽省保障性住房建设和管理办法（试行）》</w:t>
      </w:r>
      <w:r>
        <w:rPr>
          <w:rFonts w:hint="eastAsia" w:ascii="仿宋" w:hAnsi="仿宋" w:eastAsia="仿宋" w:cs="黑体"/>
          <w:sz w:val="32"/>
          <w:szCs w:val="32"/>
          <w:lang w:eastAsia="zh-CN"/>
        </w:rPr>
        <w:t>第二条、第五条、第十九条、第二十条。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新宋体">
    <w:altName w:val="方正书宋_GBK"/>
    <w:panose1 w:val="02010609030101010101"/>
    <w:charset w:val="86"/>
    <w:family w:val="modern"/>
    <w:pitch w:val="default"/>
    <w:sig w:usb0="00000000" w:usb1="00000000" w:usb2="00000006" w:usb3="00000000" w:csb0="00040001" w:csb1="00000000"/>
  </w:font>
  <w:font w:name="DejaVu Math TeX Gyre">
    <w:panose1 w:val="02000503000000000000"/>
    <w:charset w:val="00"/>
    <w:family w:val="auto"/>
    <w:pitch w:val="default"/>
    <w:sig w:usb0="A10000EF" w:usb1="4201F9EE" w:usb2="02000000" w:usb3="00000000" w:csb0="60000193" w:csb1="0DD4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299512B3"/>
    <w:rsid w:val="299512B3"/>
    <w:rsid w:val="3A175CC4"/>
    <w:rsid w:val="770F28C7"/>
    <w:rsid w:val="7DF91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jc w:val="left"/>
    </w:pPr>
    <w:rPr>
      <w:rFonts w:ascii="宋体" w:hAnsi="宋体"/>
      <w:kern w:val="0"/>
      <w:sz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2024-01-19T08:50:00Z</dcterms:created>
  <dc:creator>沉默的小布芬</dc:creator>
  <cp:lastModifiedBy>QM-536</cp:lastModifiedBy>
  <dcterms:modified xsi:type="dcterms:W3CDTF">2026-02-10T15:52:00Z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8756DDB054985EE9A0E38A6920F497BF_43</vt:lpwstr>
  </property>
</Properties>
</file>