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499C3">
      <w:pPr>
        <w:numPr>
          <w:ilvl w:val="0"/>
          <w:numId w:val="0"/>
        </w:numPr>
        <w:spacing w:line="520" w:lineRule="exact"/>
        <w:jc w:val="center"/>
        <w:rPr>
          <w:rFonts w:hint="eastAsia" w:ascii="宋体" w:hAnsi="宋体" w:eastAsia="宋体" w:cs="宋体"/>
          <w:b/>
          <w:bCs/>
          <w:kern w:val="0"/>
          <w:sz w:val="44"/>
          <w:szCs w:val="44"/>
        </w:rPr>
      </w:pPr>
      <w:r>
        <w:rPr>
          <w:rFonts w:hint="eastAsia" w:ascii="宋体" w:hAnsi="宋体" w:cs="宋体"/>
          <w:b/>
          <w:bCs/>
          <w:kern w:val="0"/>
          <w:sz w:val="44"/>
          <w:szCs w:val="44"/>
          <w:lang w:val="en-US" w:eastAsia="zh-CN"/>
        </w:rPr>
        <w:t>34.</w:t>
      </w:r>
      <w:r>
        <w:rPr>
          <w:rFonts w:hint="eastAsia" w:ascii="宋体" w:hAnsi="宋体" w:eastAsia="宋体" w:cs="宋体"/>
          <w:b/>
          <w:bCs/>
          <w:kern w:val="0"/>
          <w:sz w:val="44"/>
          <w:szCs w:val="44"/>
        </w:rPr>
        <w:t>房屋交易资金监管备案事中事后</w:t>
      </w:r>
    </w:p>
    <w:p w14:paraId="387813DD">
      <w:pPr>
        <w:numPr>
          <w:ilvl w:val="0"/>
          <w:numId w:val="0"/>
        </w:numPr>
        <w:spacing w:line="520" w:lineRule="exact"/>
        <w:jc w:val="center"/>
        <w:rPr>
          <w:rFonts w:hint="eastAsia" w:ascii="宋体" w:hAnsi="宋体" w:eastAsia="宋体" w:cs="宋体"/>
          <w:b/>
          <w:bCs/>
          <w:kern w:val="0"/>
          <w:sz w:val="44"/>
          <w:szCs w:val="44"/>
        </w:rPr>
      </w:pPr>
      <w:r>
        <w:rPr>
          <w:rFonts w:hint="eastAsia" w:ascii="宋体" w:hAnsi="宋体" w:eastAsia="宋体" w:cs="宋体"/>
          <w:b/>
          <w:bCs/>
          <w:kern w:val="0"/>
          <w:sz w:val="44"/>
          <w:szCs w:val="44"/>
        </w:rPr>
        <w:t>监管细则</w:t>
      </w:r>
    </w:p>
    <w:p w14:paraId="6ABCA9D9">
      <w:pPr>
        <w:spacing w:line="520" w:lineRule="exact"/>
        <w:jc w:val="center"/>
        <w:rPr>
          <w:rFonts w:hint="eastAsia" w:ascii="宋体" w:hAnsi="宋体" w:eastAsia="宋体" w:cs="宋体"/>
          <w:b/>
          <w:bCs/>
          <w:kern w:val="0"/>
          <w:sz w:val="44"/>
          <w:szCs w:val="44"/>
        </w:rPr>
      </w:pPr>
    </w:p>
    <w:p w14:paraId="20FA3726">
      <w:pPr>
        <w:spacing w:line="52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为深入推进简政放权、放管结合、优化服务，加强房屋交易资金监管服务工作，规范行政行为，根据相关法律法规和《中华人民共和国城市房地产管理法》，制定本监管细则。</w:t>
      </w:r>
    </w:p>
    <w:p w14:paraId="47949716">
      <w:pPr>
        <w:spacing w:line="56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kern w:val="0"/>
          <w:sz w:val="32"/>
          <w:szCs w:val="32"/>
        </w:rPr>
        <w:t>第</w:t>
      </w:r>
      <w:r>
        <w:rPr>
          <w:rFonts w:hint="eastAsia" w:ascii="仿宋" w:hAnsi="仿宋" w:eastAsia="仿宋" w:cs="仿宋_GB2312"/>
          <w:kern w:val="0"/>
          <w:sz w:val="32"/>
          <w:szCs w:val="32"/>
          <w:lang w:val="en-US" w:eastAsia="zh-CN"/>
        </w:rPr>
        <w:t>34</w:t>
      </w:r>
      <w:r>
        <w:rPr>
          <w:rFonts w:hint="eastAsia" w:ascii="仿宋" w:hAnsi="仿宋" w:eastAsia="仿宋" w:cs="仿宋_GB2312"/>
          <w:kern w:val="0"/>
          <w:sz w:val="32"/>
          <w:szCs w:val="32"/>
        </w:rPr>
        <w:t>项，权力类型：</w:t>
      </w:r>
      <w:r>
        <w:rPr>
          <w:rFonts w:hint="eastAsia" w:ascii="仿宋" w:hAnsi="仿宋" w:eastAsia="仿宋" w:cs="仿宋_GB2312"/>
          <w:kern w:val="0"/>
          <w:sz w:val="32"/>
          <w:szCs w:val="32"/>
          <w:lang w:eastAsia="zh-CN"/>
        </w:rPr>
        <w:t>其他权力</w:t>
      </w:r>
      <w:r>
        <w:rPr>
          <w:rFonts w:hint="eastAsia" w:ascii="仿宋" w:hAnsi="仿宋" w:eastAsia="仿宋" w:cs="仿宋_GB2312"/>
          <w:kern w:val="0"/>
          <w:sz w:val="32"/>
          <w:szCs w:val="32"/>
        </w:rPr>
        <w:t>，项目名称：房屋交易资金监管。</w:t>
      </w:r>
    </w:p>
    <w:p w14:paraId="7F5D3733">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一、基本原则</w:t>
      </w:r>
    </w:p>
    <w:p w14:paraId="4B1B036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7A4E1719">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 xml:space="preserve">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 </w:t>
      </w:r>
    </w:p>
    <w:p w14:paraId="36AF20CB">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二、事中监管</w:t>
      </w:r>
    </w:p>
    <w:p w14:paraId="7A421757">
      <w:pPr>
        <w:spacing w:line="52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2E39A0F0">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申报范围：在祁门县范围内房屋交易资金监管</w:t>
      </w:r>
    </w:p>
    <w:p w14:paraId="0D3FD59B">
      <w:pPr>
        <w:spacing w:line="520" w:lineRule="exact"/>
        <w:ind w:firstLine="315" w:firstLineChars="98"/>
        <w:rPr>
          <w:rFonts w:ascii="仿宋" w:hAnsi="仿宋" w:eastAsia="仿宋" w:cs="仿宋_GB2312"/>
          <w:kern w:val="0"/>
          <w:sz w:val="32"/>
          <w:szCs w:val="32"/>
        </w:rPr>
      </w:pPr>
      <w:r>
        <w:rPr>
          <w:rFonts w:hint="eastAsia" w:ascii="仿宋" w:hAnsi="仿宋" w:eastAsia="仿宋" w:cs="仿宋_GB2312"/>
          <w:b/>
          <w:bCs/>
          <w:kern w:val="0"/>
          <w:sz w:val="32"/>
          <w:szCs w:val="32"/>
        </w:rPr>
        <w:t xml:space="preserve">  1.加强权力运行流程监管。</w:t>
      </w:r>
      <w:r>
        <w:rPr>
          <w:rFonts w:hint="eastAsia" w:ascii="仿宋" w:hAnsi="仿宋" w:eastAsia="仿宋" w:cs="仿宋_GB2312"/>
          <w:kern w:val="0"/>
          <w:sz w:val="32"/>
          <w:szCs w:val="32"/>
        </w:rPr>
        <w:t>落实受理、审查和决定、送达、事后监管等阶段应履行的权责事项，规范权力运行流程，强化全程标准化监管。</w:t>
      </w:r>
    </w:p>
    <w:p w14:paraId="73E5EA80">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3AFC7E18">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主要对材料审查、项目许可等廉政风险点进行管理，强化权力运行制约监督。</w:t>
      </w:r>
    </w:p>
    <w:p w14:paraId="411E8569">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4.做出审核或备案决定。</w:t>
      </w:r>
      <w:r>
        <w:rPr>
          <w:rFonts w:hint="eastAsia" w:ascii="仿宋" w:hAnsi="仿宋" w:eastAsia="仿宋" w:cs="仿宋_GB2312"/>
          <w:kern w:val="0"/>
          <w:sz w:val="32"/>
          <w:szCs w:val="32"/>
        </w:rPr>
        <w:t>申请材料齐全、符合法定形式的，1个工作日内做出同意备案决定。</w:t>
      </w:r>
    </w:p>
    <w:p w14:paraId="321C82F1">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5.及时做好送达工作。</w:t>
      </w:r>
      <w:r>
        <w:rPr>
          <w:rFonts w:hint="eastAsia" w:ascii="仿宋" w:hAnsi="仿宋" w:eastAsia="仿宋" w:cs="仿宋_GB2312"/>
          <w:kern w:val="0"/>
          <w:sz w:val="32"/>
          <w:szCs w:val="32"/>
        </w:rPr>
        <w:t>按规定制作并送达批文，并做到信息公开（不予批准的应当告知理由）。</w:t>
      </w:r>
    </w:p>
    <w:p w14:paraId="4936004C">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1726DF2A">
      <w:pPr>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5D7C5D5E">
      <w:pPr>
        <w:autoSpaceDN w:val="0"/>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对申请人隐瞒有关真实情况或是提供虚假材料的，由祁门县住房和城乡建设局按程序上报省厅依法予以处理。</w:t>
      </w:r>
    </w:p>
    <w:p w14:paraId="460DFA4C">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14:paraId="319497E8">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5"/>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41471B83">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5"/>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38F89BF4">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咨询电话：0559-4512738</w:t>
      </w:r>
      <w:bookmarkStart w:id="0" w:name="_GoBack"/>
      <w:bookmarkEnd w:id="0"/>
      <w:r>
        <w:rPr>
          <w:rFonts w:hint="eastAsia" w:ascii="仿宋" w:hAnsi="仿宋" w:eastAsia="仿宋" w:cs="仿宋_GB2312"/>
          <w:sz w:val="32"/>
          <w:szCs w:val="32"/>
        </w:rPr>
        <w:t>。</w:t>
      </w:r>
    </w:p>
    <w:p w14:paraId="2F6FF38B">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（三）申请材料。主要包括：</w:t>
      </w:r>
    </w:p>
    <w:p w14:paraId="4075C259">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1、商品房预售资金拨付申请表；</w:t>
      </w:r>
    </w:p>
    <w:p w14:paraId="10A8A775">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2、施工单位不拖欠工程款证明；</w:t>
      </w:r>
    </w:p>
    <w:p w14:paraId="3A745591">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3、银行监管账户对账单；</w:t>
      </w:r>
    </w:p>
    <w:p w14:paraId="267CAD48">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4、此次拨付对应的施工合同及发票。</w:t>
      </w:r>
    </w:p>
    <w:p w14:paraId="19052629">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（四）建立监管档案</w:t>
      </w:r>
    </w:p>
    <w:p w14:paraId="274F5D3C">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房屋交易资金监管。监管档案主要内容包括</w:t>
      </w:r>
    </w:p>
    <w:p w14:paraId="481CEAD5">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1、商品房预售资金拨付申请表；</w:t>
      </w:r>
    </w:p>
    <w:p w14:paraId="1DF4F577">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2、施工单位不拖欠工程款证明；</w:t>
      </w:r>
    </w:p>
    <w:p w14:paraId="3C4A455E">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3、银行监管账户对账单；</w:t>
      </w:r>
    </w:p>
    <w:p w14:paraId="5DBEDC9E">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4、此次拨付对应的施工合同及发票。</w:t>
      </w:r>
    </w:p>
    <w:p w14:paraId="698157ED">
      <w:pPr>
        <w:numPr>
          <w:ilvl w:val="0"/>
          <w:numId w:val="1"/>
        </w:num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事后监管</w:t>
      </w:r>
    </w:p>
    <w:p w14:paraId="3A4B761F">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（一）个人或组织发现申请人（单位）在房屋交易资金监管活动中有违法违规现象，有权向祁门县住建局举报（举报地址：祁门县住建局;举报电话：0559-45</w:t>
      </w:r>
      <w:r>
        <w:rPr>
          <w:rFonts w:hint="eastAsia" w:ascii="仿宋" w:hAnsi="仿宋" w:eastAsia="仿宋" w:cs="仿宋_GB2312"/>
          <w:sz w:val="32"/>
          <w:szCs w:val="32"/>
          <w:lang w:val="en-US" w:eastAsia="zh-CN"/>
        </w:rPr>
        <w:t>12045</w:t>
      </w:r>
      <w:r>
        <w:rPr>
          <w:rFonts w:hint="eastAsia" w:ascii="仿宋" w:hAnsi="仿宋" w:eastAsia="仿宋" w:cs="仿宋_GB2312"/>
          <w:sz w:val="32"/>
          <w:szCs w:val="32"/>
        </w:rPr>
        <w:t>，祁门县住建局建筑管理处将及时核实、处理，并将核实、处理结果书面告知举报人。</w:t>
      </w:r>
    </w:p>
    <w:p w14:paraId="7B0E1E9A">
      <w:pPr>
        <w:spacing w:line="560" w:lineRule="exact"/>
        <w:ind w:firstLine="640" w:firstLineChars="200"/>
        <w:rPr>
          <w:rFonts w:ascii="仿宋" w:hAnsi="仿宋" w:eastAsia="仿宋"/>
          <w:sz w:val="32"/>
          <w:szCs w:val="32"/>
          <w:lang w:val="zh-CN"/>
        </w:rPr>
      </w:pPr>
      <w:r>
        <w:rPr>
          <w:rFonts w:hint="eastAsia" w:ascii="仿宋" w:hAnsi="仿宋" w:eastAsia="仿宋" w:cs="仿宋_GB2312"/>
          <w:sz w:val="32"/>
          <w:szCs w:val="32"/>
        </w:rPr>
        <w:t>（二）对企业巡查中发现的违法问题，</w:t>
      </w:r>
      <w:r>
        <w:rPr>
          <w:rFonts w:hint="eastAsia" w:ascii="仿宋" w:hAnsi="仿宋" w:eastAsia="仿宋"/>
          <w:sz w:val="32"/>
          <w:szCs w:val="32"/>
          <w:lang w:val="zh-CN"/>
        </w:rPr>
        <w:t>符合立案条件的，及时转交给县城管执法局立案查处。</w:t>
      </w:r>
    </w:p>
    <w:p w14:paraId="7B480A7D">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（三）行政相对人和利害关系人对祁门县住房城乡建设局在该许可工作中做出的具体行政决定不服的，可以自收到决定之日起60日内向祁门县人民政府或者</w:t>
      </w:r>
      <w:r>
        <w:rPr>
          <w:rFonts w:hint="eastAsia" w:ascii="仿宋" w:hAnsi="仿宋" w:eastAsia="仿宋" w:cs="仿宋_GB2312"/>
          <w:sz w:val="32"/>
          <w:szCs w:val="32"/>
          <w:lang w:eastAsia="zh-CN"/>
        </w:rPr>
        <w:t>市住建局</w:t>
      </w:r>
      <w:r>
        <w:rPr>
          <w:rFonts w:hint="eastAsia" w:ascii="仿宋" w:hAnsi="仿宋" w:eastAsia="仿宋" w:cs="仿宋_GB2312"/>
          <w:sz w:val="32"/>
          <w:szCs w:val="32"/>
        </w:rPr>
        <w:t>申请行政复议，也可以于6个月内依法向人民法院提起行政诉讼。行政复议或者行政诉讼期间，行政决定不停在执行。</w:t>
      </w:r>
    </w:p>
    <w:p w14:paraId="47260682">
      <w:pPr>
        <w:spacing w:line="520" w:lineRule="exact"/>
        <w:ind w:firstLine="640" w:firstLineChars="200"/>
        <w:rPr>
          <w:rFonts w:hint="eastAsia" w:ascii="黑体" w:hAnsi="黑体" w:eastAsia="黑体" w:cs="黑体"/>
          <w:bCs/>
          <w:sz w:val="32"/>
          <w:szCs w:val="32"/>
        </w:rPr>
      </w:pPr>
      <w:r>
        <w:rPr>
          <w:rFonts w:hint="eastAsia" w:ascii="黑体" w:hAnsi="黑体" w:eastAsia="黑体" w:cs="黑体"/>
          <w:bCs/>
          <w:kern w:val="0"/>
          <w:sz w:val="32"/>
          <w:szCs w:val="32"/>
        </w:rPr>
        <w:t>四、责任追</w:t>
      </w:r>
      <w:r>
        <w:rPr>
          <w:rFonts w:hint="eastAsia" w:ascii="黑体" w:hAnsi="黑体" w:eastAsia="黑体" w:cs="黑体"/>
          <w:bCs/>
          <w:sz w:val="32"/>
          <w:szCs w:val="32"/>
        </w:rPr>
        <w:t>溯</w:t>
      </w:r>
    </w:p>
    <w:p w14:paraId="25B5B40B">
      <w:pPr>
        <w:autoSpaceDN w:val="0"/>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。祁门县住房和城乡建设局会对全</w:t>
      </w:r>
      <w:r>
        <w:rPr>
          <w:rFonts w:hint="eastAsia" w:ascii="仿宋" w:hAnsi="仿宋" w:eastAsia="仿宋"/>
          <w:sz w:val="32"/>
          <w:szCs w:val="32"/>
          <w:lang w:val="zh-CN"/>
        </w:rPr>
        <w:t>县房屋交易资金监管备案履行监管责任进行监督问责。</w:t>
      </w:r>
      <w:r>
        <w:rPr>
          <w:rFonts w:hint="eastAsia" w:ascii="仿宋" w:hAnsi="仿宋" w:eastAsia="仿宋" w:cs="仿宋_GB2312"/>
          <w:sz w:val="32"/>
          <w:szCs w:val="32"/>
        </w:rPr>
        <w:t>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451045</w:t>
      </w:r>
      <w:r>
        <w:rPr>
          <w:rFonts w:hint="eastAsia" w:ascii="仿宋" w:hAnsi="仿宋" w:eastAsia="仿宋" w:cs="仿宋_GB2312"/>
          <w:sz w:val="32"/>
          <w:szCs w:val="32"/>
        </w:rPr>
        <w:t>。</w:t>
      </w:r>
    </w:p>
    <w:p w14:paraId="28532914">
      <w:pPr>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发现违反本规定的违法行为不依法查处的；其他违反法律法规规章文件规定的行为。</w:t>
      </w:r>
      <w:r>
        <w:rPr>
          <w:rFonts w:hint="eastAsia" w:ascii="仿宋" w:hAnsi="仿宋" w:eastAsia="仿宋" w:cs="仿宋_GB2312"/>
          <w:sz w:val="32"/>
          <w:szCs w:val="32"/>
        </w:rPr>
        <w:t>在备案和监督管理中，利用职务上的便利，收受他人财物或者其他好处，以及有其他违法行为的，由安徽省住房和城乡建设厅调查取证后，按照相关规定对祁门县住建局房管中心经办人予以问责。</w:t>
      </w:r>
    </w:p>
    <w:p w14:paraId="6149FA99">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进行监管，根据认定的过错责任大小实施相应的追究方式。包括：责令改正、责令做出书面检查、给予通报批评、调离执法岗位或者吊销执法证件、停职、给予行政处分等；涉嫌犯罪的，移交司法机关处理。</w:t>
      </w:r>
    </w:p>
    <w:p w14:paraId="408F570D">
      <w:pPr>
        <w:spacing w:line="520" w:lineRule="exact"/>
        <w:ind w:firstLine="640" w:firstLineChars="200"/>
        <w:rPr>
          <w:rFonts w:hint="eastAsia" w:ascii="黑体" w:hAnsi="黑体" w:eastAsia="黑体" w:cs="黑体"/>
          <w:bCs/>
          <w:kern w:val="0"/>
          <w:sz w:val="32"/>
          <w:szCs w:val="32"/>
        </w:rPr>
      </w:pPr>
      <w:r>
        <w:rPr>
          <w:rFonts w:hint="eastAsia" w:ascii="黑体" w:hAnsi="黑体" w:eastAsia="黑体" w:cs="黑体"/>
          <w:bCs/>
          <w:kern w:val="0"/>
          <w:sz w:val="32"/>
          <w:szCs w:val="32"/>
        </w:rPr>
        <w:t>五、保障措施</w:t>
      </w:r>
    </w:p>
    <w:p w14:paraId="058B517A">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1、严格遵守《事业单位人事管理条例》、《中国共产党纪律处分条例》等法律法规的相关规定，杜绝违法违纪行为。</w:t>
      </w:r>
    </w:p>
    <w:p w14:paraId="61DB110B">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1、</w:t>
      </w:r>
      <w:r>
        <w:rPr>
          <w:rFonts w:hint="eastAsia" w:ascii="仿宋" w:hAnsi="仿宋" w:eastAsia="仿宋"/>
          <w:sz w:val="32"/>
          <w:szCs w:val="32"/>
          <w:lang w:val="zh-CN"/>
        </w:rPr>
        <w:t>实施“审批查”改革。按照简政放权、放管结合、转变职能的要求，推进“审、批、查”相互分离、相互衔接，切实加强事中事后监管力量，彻底解决“重审批轻监管”的问题。</w:t>
      </w:r>
    </w:p>
    <w:p w14:paraId="5787BC98">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2、加强组织协调。强化组织领导，健全协调机制，落实监管措施，确保事中事后监管工作有序推进。</w:t>
      </w:r>
    </w:p>
    <w:p w14:paraId="0774388F">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3、强化人员培训，加强对监管执法人员有关法律、法规、标准和专业知识与执法能力培训，并适时组织考核。</w:t>
      </w:r>
    </w:p>
    <w:p w14:paraId="2452C1BB">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4、加强内部监管，接受投诉举报，依法追究相关经办人员责任。</w:t>
      </w:r>
    </w:p>
    <w:p w14:paraId="660551E8">
      <w:pPr>
        <w:spacing w:line="520" w:lineRule="exact"/>
        <w:ind w:firstLine="640" w:firstLineChars="200"/>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六、主要依据</w:t>
      </w:r>
    </w:p>
    <w:p w14:paraId="3ED5E711">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1.《中华人民共和国城市房地产管理法》第四十五条</w:t>
      </w:r>
    </w:p>
    <w:p w14:paraId="1414BD1D">
      <w:pPr>
        <w:spacing w:line="52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2. 《关于规范商品房预售资金监管的意见》（建房【2022】16号）</w:t>
      </w:r>
    </w:p>
    <w:p w14:paraId="0D1842B4">
      <w:pPr>
        <w:spacing w:line="520" w:lineRule="exact"/>
        <w:jc w:val="left"/>
        <w:rPr>
          <w:rFonts w:ascii="方正小标宋_GBK" w:hAnsi="宋体" w:eastAsia="方正小标宋_GBK" w:cs="仿宋_GB2312"/>
          <w:bCs/>
          <w:kern w:val="0"/>
          <w:sz w:val="44"/>
          <w:szCs w:val="44"/>
        </w:rPr>
      </w:pPr>
    </w:p>
    <w:p w14:paraId="082602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1801C"/>
    <w:multiLevelType w:val="singleLevel"/>
    <w:tmpl w:val="5791801C"/>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214B05BE"/>
    <w:rsid w:val="1C10490D"/>
    <w:rsid w:val="214B05BE"/>
    <w:rsid w:val="4FBE6117"/>
    <w:rsid w:val="52065F04"/>
    <w:rsid w:val="7FEA4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FollowedHyperlink"/>
    <w:basedOn w:val="3"/>
    <w:autoRedefine/>
    <w:qFormat/>
    <w:uiPriority w:val="0"/>
    <w:rPr>
      <w:color w:val="800080"/>
      <w:u w:val="single"/>
    </w:rPr>
  </w:style>
  <w:style w:type="character" w:styleId="5">
    <w:name w:val="Hyperlink"/>
    <w:basedOn w:val="3"/>
    <w:autoRedefine/>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2000</Words>
  <Characters>2090</Characters>
  <Lines>0</Lines>
  <Paragraphs>0</Paragraphs>
  <TotalTime>0</TotalTime>
  <ScaleCrop>false</ScaleCrop>
  <LinksUpToDate>false</LinksUpToDate>
  <CharactersWithSpaces>2094</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2024-01-19T16:38:00Z</dcterms:created>
  <dc:creator>沉默的小布芬</dc:creator>
  <cp:lastModifiedBy>QM-536</cp:lastModifiedBy>
  <dcterms:modified xsi:type="dcterms:W3CDTF">2026-02-10T16:01:07Z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FA7437917CB0704EC3E58A6984F6BF7E_43</vt:lpwstr>
  </property>
</Properties>
</file>