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E3591">
      <w:pPr>
        <w:tabs>
          <w:tab w:val="left" w:pos="1862"/>
        </w:tabs>
        <w:spacing w:line="560" w:lineRule="exact"/>
        <w:ind w:firstLine="442" w:firstLineChars="100"/>
        <w:rPr>
          <w:rFonts w:hint="eastAsia" w:ascii="宋体" w:hAnsi="宋体" w:eastAsia="宋体" w:cs="宋体"/>
          <w:b/>
          <w:bCs/>
          <w:sz w:val="44"/>
          <w:szCs w:val="44"/>
          <w:lang w:val="en-US" w:eastAsia="zh-CN"/>
        </w:rPr>
      </w:pPr>
    </w:p>
    <w:p w14:paraId="03F4F0A8">
      <w:pPr>
        <w:tabs>
          <w:tab w:val="left" w:pos="1862"/>
        </w:tabs>
        <w:spacing w:line="560" w:lineRule="exact"/>
        <w:ind w:firstLine="442" w:firstLineChars="100"/>
        <w:rPr>
          <w:rFonts w:hint="eastAsia" w:ascii="宋体" w:hAnsi="宋体" w:eastAsia="宋体" w:cs="宋体"/>
          <w:b/>
          <w:bCs/>
          <w:sz w:val="44"/>
          <w:szCs w:val="44"/>
          <w:lang w:val="zh-CN"/>
        </w:rPr>
      </w:pPr>
      <w:r>
        <w:rPr>
          <w:rFonts w:hint="eastAsia" w:ascii="宋体" w:hAnsi="宋体" w:eastAsia="宋体" w:cs="宋体"/>
          <w:b/>
          <w:bCs/>
          <w:sz w:val="44"/>
          <w:szCs w:val="44"/>
          <w:lang w:val="en-US" w:eastAsia="zh-CN"/>
        </w:rPr>
        <w:t>3</w:t>
      </w:r>
      <w:r>
        <w:rPr>
          <w:rFonts w:hint="eastAsia" w:ascii="宋体" w:hAnsi="宋体" w:cs="宋体"/>
          <w:b/>
          <w:bCs/>
          <w:sz w:val="44"/>
          <w:szCs w:val="44"/>
          <w:lang w:val="en-US" w:eastAsia="zh-CN"/>
        </w:rPr>
        <w:t>0</w:t>
      </w:r>
      <w:r>
        <w:rPr>
          <w:rFonts w:hint="eastAsia" w:ascii="宋体" w:hAnsi="宋体" w:eastAsia="宋体" w:cs="宋体"/>
          <w:b/>
          <w:bCs/>
          <w:sz w:val="44"/>
          <w:szCs w:val="44"/>
          <w:lang w:val="en-US" w:eastAsia="zh-CN"/>
        </w:rPr>
        <w:t>.</w:t>
      </w:r>
      <w:r>
        <w:rPr>
          <w:rFonts w:hint="eastAsia" w:ascii="宋体" w:hAnsi="宋体" w:eastAsia="宋体" w:cs="宋体"/>
          <w:b/>
          <w:bCs/>
          <w:sz w:val="44"/>
          <w:szCs w:val="44"/>
          <w:lang w:val="zh-CN"/>
        </w:rPr>
        <w:t>市政设施工程验收事中事后监管细则</w:t>
      </w:r>
    </w:p>
    <w:p w14:paraId="7343B3ED">
      <w:pPr>
        <w:tabs>
          <w:tab w:val="left" w:pos="1862"/>
        </w:tabs>
        <w:spacing w:line="560" w:lineRule="exact"/>
        <w:jc w:val="left"/>
        <w:rPr>
          <w:rFonts w:hint="eastAsia" w:ascii="宋体" w:hAnsi="宋体" w:eastAsia="宋体" w:cs="宋体"/>
          <w:b/>
          <w:bCs/>
          <w:sz w:val="44"/>
          <w:szCs w:val="44"/>
          <w:lang w:val="zh-CN"/>
        </w:rPr>
      </w:pPr>
    </w:p>
    <w:p w14:paraId="272E83C0">
      <w:pPr>
        <w:tabs>
          <w:tab w:val="left" w:pos="1862"/>
        </w:tabs>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为深入推进简政放权、放管结合、优化服务，加强市政设施工程验收事中事后管理服务工作，规范行政行为，根据相关法律法规和</w:t>
      </w:r>
      <w:r>
        <w:rPr>
          <w:rFonts w:hint="eastAsia" w:ascii="仿宋" w:hAnsi="仿宋" w:eastAsia="仿宋" w:cs="仿宋_GB2312"/>
          <w:sz w:val="32"/>
          <w:szCs w:val="32"/>
          <w:lang w:val="zh-CN"/>
        </w:rPr>
        <w:t>《安徽省住房和城乡建设厅行政权力运行监管细则》</w:t>
      </w:r>
      <w:r>
        <w:rPr>
          <w:rFonts w:hint="eastAsia" w:ascii="仿宋" w:hAnsi="仿宋" w:eastAsia="仿宋"/>
          <w:sz w:val="32"/>
          <w:szCs w:val="32"/>
          <w:lang w:val="zh-CN"/>
        </w:rPr>
        <w:t>，制定本监管细则。</w:t>
      </w:r>
    </w:p>
    <w:p w14:paraId="773326D5">
      <w:pPr>
        <w:spacing w:line="560" w:lineRule="exact"/>
        <w:ind w:firstLine="640" w:firstLineChars="200"/>
        <w:jc w:val="left"/>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color w:val="000000"/>
          <w:kern w:val="0"/>
          <w:sz w:val="32"/>
          <w:szCs w:val="32"/>
        </w:rPr>
        <w:t>第3</w:t>
      </w:r>
      <w:r>
        <w:rPr>
          <w:rFonts w:hint="eastAsia" w:ascii="仿宋" w:hAnsi="仿宋" w:eastAsia="仿宋" w:cs="仿宋_GB2312"/>
          <w:color w:val="000000"/>
          <w:kern w:val="0"/>
          <w:sz w:val="32"/>
          <w:szCs w:val="32"/>
          <w:lang w:val="en-US" w:eastAsia="zh-CN"/>
        </w:rPr>
        <w:t>0</w:t>
      </w:r>
      <w:r>
        <w:rPr>
          <w:rFonts w:hint="eastAsia" w:ascii="仿宋" w:hAnsi="仿宋" w:eastAsia="仿宋" w:cs="仿宋_GB2312"/>
          <w:color w:val="000000"/>
          <w:kern w:val="0"/>
          <w:sz w:val="32"/>
          <w:szCs w:val="32"/>
        </w:rPr>
        <w:t>项，权力类型：</w:t>
      </w:r>
      <w:r>
        <w:rPr>
          <w:rFonts w:hint="eastAsia" w:ascii="仿宋" w:hAnsi="仿宋" w:eastAsia="仿宋" w:cs="仿宋_GB2312"/>
          <w:color w:val="000000"/>
          <w:kern w:val="0"/>
          <w:sz w:val="32"/>
          <w:szCs w:val="32"/>
          <w:lang w:eastAsia="zh-CN"/>
        </w:rPr>
        <w:t>其他权力</w:t>
      </w:r>
      <w:r>
        <w:rPr>
          <w:rFonts w:hint="eastAsia" w:ascii="仿宋" w:hAnsi="仿宋" w:eastAsia="仿宋" w:cs="仿宋_GB2312"/>
          <w:color w:val="000000"/>
          <w:kern w:val="0"/>
          <w:sz w:val="32"/>
          <w:szCs w:val="32"/>
        </w:rPr>
        <w:t>，项目名称：市政设施工程竣工验收。</w:t>
      </w:r>
    </w:p>
    <w:p w14:paraId="0F9A84A9">
      <w:pPr>
        <w:spacing w:line="560" w:lineRule="exact"/>
        <w:ind w:firstLine="645"/>
        <w:rPr>
          <w:rFonts w:hint="eastAsia" w:ascii="黑体" w:hAnsi="黑体" w:eastAsia="黑体" w:cs="黑体"/>
          <w:sz w:val="32"/>
          <w:szCs w:val="32"/>
          <w:highlight w:val="yellow"/>
        </w:rPr>
      </w:pPr>
      <w:r>
        <w:rPr>
          <w:rFonts w:hint="eastAsia" w:ascii="黑体" w:hAnsi="黑体" w:eastAsia="黑体" w:cs="黑体"/>
          <w:sz w:val="32"/>
          <w:szCs w:val="32"/>
        </w:rPr>
        <w:t>一、基本原则</w:t>
      </w:r>
    </w:p>
    <w:p w14:paraId="41737874">
      <w:pPr>
        <w:spacing w:line="560" w:lineRule="exact"/>
        <w:ind w:firstLine="640" w:firstLineChars="200"/>
        <w:rPr>
          <w:rFonts w:ascii="仿宋" w:hAnsi="仿宋" w:eastAsia="仿宋"/>
          <w:sz w:val="32"/>
          <w:szCs w:val="32"/>
        </w:rPr>
      </w:pPr>
      <w:r>
        <w:rPr>
          <w:rFonts w:hint="eastAsia" w:ascii="仿宋" w:hAnsi="仿宋" w:eastAsia="仿宋"/>
          <w:sz w:val="32"/>
          <w:szCs w:val="32"/>
        </w:rPr>
        <w:t>（一）坚持“法无授权不可为、法定职权必须为”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1A34A165">
      <w:pPr>
        <w:spacing w:line="560" w:lineRule="exact"/>
        <w:ind w:firstLine="640" w:firstLineChars="200"/>
        <w:rPr>
          <w:rFonts w:ascii="仿宋" w:hAnsi="仿宋" w:eastAsia="仿宋"/>
          <w:sz w:val="32"/>
          <w:szCs w:val="32"/>
        </w:rPr>
      </w:pPr>
      <w:r>
        <w:rPr>
          <w:rFonts w:hint="eastAsia" w:ascii="仿宋" w:hAnsi="仿宋" w:eastAsia="仿宋"/>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56376BE1">
      <w:pPr>
        <w:spacing w:line="560" w:lineRule="exact"/>
        <w:ind w:firstLine="645"/>
        <w:rPr>
          <w:rFonts w:hint="eastAsia" w:ascii="黑体" w:hAnsi="黑体" w:eastAsia="黑体" w:cs="黑体"/>
          <w:sz w:val="32"/>
          <w:szCs w:val="32"/>
        </w:rPr>
      </w:pPr>
      <w:r>
        <w:rPr>
          <w:rFonts w:hint="eastAsia" w:ascii="黑体" w:hAnsi="黑体" w:eastAsia="黑体" w:cs="黑体"/>
          <w:sz w:val="32"/>
          <w:szCs w:val="32"/>
        </w:rPr>
        <w:t>二、事中监管</w:t>
      </w:r>
    </w:p>
    <w:p w14:paraId="50436B61">
      <w:pPr>
        <w:spacing w:line="560" w:lineRule="exact"/>
        <w:ind w:left="640"/>
        <w:rPr>
          <w:rFonts w:ascii="仿宋" w:hAnsi="仿宋" w:eastAsia="仿宋"/>
          <w:sz w:val="32"/>
          <w:szCs w:val="32"/>
        </w:rPr>
      </w:pPr>
      <w:r>
        <w:rPr>
          <w:rFonts w:hint="eastAsia" w:ascii="仿宋" w:hAnsi="仿宋" w:eastAsia="仿宋"/>
          <w:sz w:val="32"/>
          <w:szCs w:val="32"/>
        </w:rPr>
        <w:t>（一）监管任务</w:t>
      </w:r>
    </w:p>
    <w:p w14:paraId="2F78C8D4">
      <w:pPr>
        <w:tabs>
          <w:tab w:val="left" w:pos="1862"/>
        </w:tabs>
        <w:spacing w:line="560" w:lineRule="exact"/>
        <w:ind w:firstLine="640" w:firstLineChars="200"/>
        <w:rPr>
          <w:rFonts w:ascii="仿宋" w:hAnsi="仿宋" w:eastAsia="仿宋"/>
          <w:sz w:val="32"/>
          <w:szCs w:val="32"/>
          <w:lang w:val="zh-CN"/>
        </w:rPr>
      </w:pPr>
      <w:r>
        <w:rPr>
          <w:rFonts w:hint="eastAsia" w:ascii="仿宋" w:hAnsi="仿宋" w:eastAsia="仿宋"/>
          <w:sz w:val="32"/>
          <w:szCs w:val="32"/>
          <w:lang w:eastAsia="zh-CN"/>
        </w:rPr>
        <w:t>县住建局</w:t>
      </w:r>
      <w:r>
        <w:rPr>
          <w:rFonts w:hint="eastAsia" w:ascii="仿宋" w:hAnsi="仿宋" w:eastAsia="仿宋"/>
          <w:sz w:val="32"/>
          <w:szCs w:val="32"/>
          <w:lang w:val="zh-CN"/>
        </w:rPr>
        <w:t>依照法律、法规等规定负责对中心城区、经济开发区、乡镇范围内市政设施工程验收事项事中事后监督管理，规范认定行为，纠正和查处违法行为。主要监管任务如下：</w:t>
      </w:r>
    </w:p>
    <w:p w14:paraId="2038614F">
      <w:pPr>
        <w:spacing w:line="560" w:lineRule="exact"/>
        <w:ind w:left="640"/>
        <w:rPr>
          <w:rFonts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申请监督资料是否齐全。主要包括：</w:t>
      </w:r>
    </w:p>
    <w:p w14:paraId="174D3B78">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（1）工程竣工验收通知单（含验收时间、地点、验收组名单、验收条件检查情况、验收方案等）；</w:t>
      </w:r>
    </w:p>
    <w:p w14:paraId="1A6A39F6">
      <w:pPr>
        <w:spacing w:line="56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（2）施工许可证原件及复印件；</w:t>
      </w:r>
    </w:p>
    <w:p w14:paraId="653DA3BF">
      <w:pPr>
        <w:spacing w:line="560" w:lineRule="exact"/>
        <w:ind w:firstLine="640" w:firstLineChars="200"/>
        <w:rPr>
          <w:rFonts w:ascii="仿宋" w:hAnsi="仿宋" w:eastAsia="仿宋"/>
          <w:sz w:val="32"/>
          <w:szCs w:val="32"/>
        </w:rPr>
      </w:pPr>
      <w:r>
        <w:rPr>
          <w:rFonts w:hint="eastAsia" w:ascii="仿宋" w:hAnsi="仿宋" w:eastAsia="仿宋"/>
          <w:sz w:val="32"/>
          <w:szCs w:val="32"/>
        </w:rPr>
        <w:t>（3）节能验收备案表原件及复印件。</w:t>
      </w:r>
    </w:p>
    <w:p w14:paraId="0CA08500">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监督过程是否符合规范要求。主要包括监督</w:t>
      </w:r>
      <w:r>
        <w:rPr>
          <w:rFonts w:ascii="仿宋" w:hAnsi="仿宋" w:eastAsia="仿宋"/>
          <w:sz w:val="32"/>
          <w:szCs w:val="32"/>
        </w:rPr>
        <w:t>工程竣工验收的组织形式、验收程序、验收执行的标准等情况</w:t>
      </w:r>
      <w:r>
        <w:rPr>
          <w:rFonts w:hint="eastAsia" w:ascii="仿宋" w:hAnsi="仿宋" w:eastAsia="仿宋"/>
          <w:sz w:val="32"/>
          <w:szCs w:val="32"/>
        </w:rPr>
        <w:t>，工程参建各方</w:t>
      </w:r>
      <w:r>
        <w:rPr>
          <w:rFonts w:ascii="仿宋" w:hAnsi="仿宋" w:eastAsia="仿宋"/>
          <w:sz w:val="32"/>
          <w:szCs w:val="32"/>
        </w:rPr>
        <w:t>有</w:t>
      </w:r>
      <w:r>
        <w:rPr>
          <w:rFonts w:hint="eastAsia" w:ascii="仿宋" w:hAnsi="仿宋" w:eastAsia="仿宋"/>
          <w:sz w:val="32"/>
          <w:szCs w:val="32"/>
        </w:rPr>
        <w:t>无</w:t>
      </w:r>
      <w:r>
        <w:rPr>
          <w:rFonts w:ascii="仿宋" w:hAnsi="仿宋" w:eastAsia="仿宋"/>
          <w:sz w:val="32"/>
          <w:szCs w:val="32"/>
        </w:rPr>
        <w:t>违反国家建设工程质量管理规定行为</w:t>
      </w:r>
      <w:r>
        <w:rPr>
          <w:rFonts w:hint="eastAsia" w:ascii="仿宋" w:hAnsi="仿宋" w:eastAsia="仿宋"/>
          <w:sz w:val="32"/>
          <w:szCs w:val="32"/>
        </w:rPr>
        <w:t>以及工程实体有无</w:t>
      </w:r>
      <w:r>
        <w:rPr>
          <w:rFonts w:ascii="仿宋" w:hAnsi="仿宋" w:eastAsia="仿宋"/>
          <w:sz w:val="32"/>
          <w:szCs w:val="32"/>
        </w:rPr>
        <w:t>存在不满足使用功能、影响安全和重大质量问题</w:t>
      </w:r>
      <w:r>
        <w:rPr>
          <w:rFonts w:hint="eastAsia" w:ascii="仿宋" w:hAnsi="仿宋" w:eastAsia="仿宋"/>
          <w:sz w:val="32"/>
          <w:szCs w:val="32"/>
        </w:rPr>
        <w:t>等情况。</w:t>
      </w:r>
    </w:p>
    <w:p w14:paraId="37ECC05F">
      <w:pPr>
        <w:spacing w:line="560" w:lineRule="exact"/>
        <w:ind w:left="640"/>
        <w:rPr>
          <w:rFonts w:ascii="仿宋" w:hAnsi="仿宋" w:eastAsia="仿宋"/>
          <w:sz w:val="32"/>
          <w:szCs w:val="32"/>
        </w:rPr>
      </w:pPr>
      <w:r>
        <w:rPr>
          <w:rFonts w:hint="eastAsia" w:ascii="仿宋" w:hAnsi="仿宋" w:eastAsia="仿宋"/>
          <w:sz w:val="32"/>
          <w:szCs w:val="32"/>
          <w:lang w:val="zh-CN"/>
        </w:rPr>
        <w:t>（二）监督检查程序</w:t>
      </w:r>
    </w:p>
    <w:p w14:paraId="1153ADEE">
      <w:pPr>
        <w:spacing w:line="560" w:lineRule="exact"/>
        <w:ind w:firstLine="640" w:firstLineChars="200"/>
        <w:rPr>
          <w:rFonts w:ascii="仿宋" w:hAnsi="仿宋" w:eastAsia="仿宋"/>
          <w:sz w:val="32"/>
          <w:szCs w:val="32"/>
        </w:rPr>
      </w:pPr>
      <w:r>
        <w:rPr>
          <w:rFonts w:hint="eastAsia" w:ascii="仿宋" w:hAnsi="仿宋" w:eastAsia="仿宋"/>
          <w:sz w:val="32"/>
          <w:szCs w:val="32"/>
        </w:rPr>
        <w:t>工程验收由县政务中心县住建局窗口受理，建设单位应在竣工验收前7个工作日将验收申请提交到窗口，材料不齐全的一次性告知缺件内容，并出具不予受理通知书。受理后，县政务中心转交到</w:t>
      </w:r>
      <w:r>
        <w:rPr>
          <w:rFonts w:hint="eastAsia" w:ascii="仿宋" w:hAnsi="仿宋" w:eastAsia="仿宋"/>
          <w:sz w:val="32"/>
          <w:szCs w:val="32"/>
          <w:lang w:eastAsia="zh-CN"/>
        </w:rPr>
        <w:t>城建股</w:t>
      </w:r>
      <w:r>
        <w:rPr>
          <w:rFonts w:hint="eastAsia" w:ascii="仿宋" w:hAnsi="仿宋" w:eastAsia="仿宋"/>
          <w:sz w:val="32"/>
          <w:szCs w:val="32"/>
        </w:rPr>
        <w:t>，由县</w:t>
      </w:r>
      <w:r>
        <w:rPr>
          <w:rFonts w:hint="eastAsia" w:ascii="仿宋" w:hAnsi="仿宋" w:eastAsia="仿宋"/>
          <w:sz w:val="32"/>
          <w:szCs w:val="32"/>
          <w:lang w:eastAsia="zh-CN"/>
        </w:rPr>
        <w:t>住建局城建股股</w:t>
      </w:r>
      <w:r>
        <w:rPr>
          <w:rFonts w:hint="eastAsia" w:ascii="仿宋" w:hAnsi="仿宋" w:eastAsia="仿宋"/>
          <w:sz w:val="32"/>
          <w:szCs w:val="32"/>
        </w:rPr>
        <w:t>长安排监督人员组成监督组对该项目竣工验收情况进行监督检查。主要程序如下：</w:t>
      </w:r>
    </w:p>
    <w:p w14:paraId="39172211">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制定监督检查方案。县</w:t>
      </w:r>
      <w:r>
        <w:rPr>
          <w:rFonts w:hint="eastAsia" w:ascii="仿宋" w:hAnsi="仿宋" w:eastAsia="仿宋"/>
          <w:sz w:val="32"/>
          <w:szCs w:val="32"/>
          <w:lang w:eastAsia="zh-CN"/>
        </w:rPr>
        <w:t>住建局</w:t>
      </w:r>
      <w:r>
        <w:rPr>
          <w:rFonts w:hint="eastAsia" w:ascii="仿宋" w:hAnsi="仿宋" w:eastAsia="仿宋"/>
          <w:sz w:val="32"/>
          <w:szCs w:val="32"/>
        </w:rPr>
        <w:t>根据项目情况制定检查方案，现场监督检查方案应包括现场监督检查的时间、人员及分工、监督检查的标准和内容等。</w:t>
      </w:r>
    </w:p>
    <w:p w14:paraId="033F5729">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实施现场检查。对现场进行监督检查，通过查询资料，实体检查，实测实量、询问各方责任人等方式进行监管。</w:t>
      </w:r>
    </w:p>
    <w:p w14:paraId="22847CC2">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监督检查结果。对监督检查中发现的主要问题，监督检查人员提出整改建议及整改期限，以整改通知单的形式告知建设各方主体，检查人员和被检查方签字等。</w:t>
      </w:r>
    </w:p>
    <w:p w14:paraId="6B3319C3">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发现违法行为后依法处置。对竣工验收过程中</w:t>
      </w:r>
      <w:r>
        <w:rPr>
          <w:rFonts w:ascii="仿宋" w:hAnsi="仿宋" w:eastAsia="仿宋"/>
          <w:sz w:val="32"/>
          <w:szCs w:val="32"/>
        </w:rPr>
        <w:t>发现有违反国家建设工程质量管理规定行为或存在不满足使用功能、影响安全和重大质量问题的</w:t>
      </w:r>
      <w:r>
        <w:rPr>
          <w:rFonts w:hint="eastAsia" w:ascii="仿宋" w:hAnsi="仿宋" w:eastAsia="仿宋"/>
          <w:sz w:val="32"/>
          <w:szCs w:val="32"/>
        </w:rPr>
        <w:t>，</w:t>
      </w:r>
      <w:r>
        <w:rPr>
          <w:rFonts w:ascii="仿宋" w:hAnsi="仿宋" w:eastAsia="仿宋"/>
          <w:sz w:val="32"/>
          <w:szCs w:val="32"/>
        </w:rPr>
        <w:t>应当责令改正，建设单位应在整改后重新组织竣工验收</w:t>
      </w:r>
      <w:r>
        <w:rPr>
          <w:rFonts w:hint="eastAsia" w:ascii="仿宋" w:hAnsi="仿宋" w:eastAsia="仿宋"/>
          <w:sz w:val="32"/>
          <w:szCs w:val="32"/>
        </w:rPr>
        <w:t>；对存在违法违规行为的，应依法处置。</w:t>
      </w:r>
    </w:p>
    <w:p w14:paraId="1A12D901">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5.</w:t>
      </w:r>
      <w:r>
        <w:rPr>
          <w:rFonts w:hint="eastAsia" w:ascii="仿宋" w:hAnsi="仿宋" w:eastAsia="仿宋"/>
          <w:sz w:val="32"/>
          <w:szCs w:val="32"/>
        </w:rPr>
        <w:t>按照法定程序和要求公布监管信息。</w:t>
      </w:r>
    </w:p>
    <w:p w14:paraId="1AF8C5ED">
      <w:pPr>
        <w:spacing w:line="560" w:lineRule="exact"/>
        <w:ind w:firstLine="640" w:firstLineChars="200"/>
        <w:rPr>
          <w:rFonts w:ascii="仿宋" w:hAnsi="仿宋" w:eastAsia="仿宋"/>
          <w:sz w:val="32"/>
          <w:szCs w:val="32"/>
        </w:rPr>
      </w:pPr>
      <w:r>
        <w:rPr>
          <w:rFonts w:hint="eastAsia" w:ascii="仿宋" w:hAnsi="仿宋" w:eastAsia="仿宋"/>
          <w:sz w:val="32"/>
          <w:szCs w:val="32"/>
        </w:rPr>
        <w:t>（三）现场检查。主要包括：</w:t>
      </w:r>
    </w:p>
    <w:p w14:paraId="7A31D3BF">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验收组织是否符合要求；</w:t>
      </w:r>
    </w:p>
    <w:p w14:paraId="3275E943">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验收程序是否符合要求；</w:t>
      </w:r>
    </w:p>
    <w:p w14:paraId="0BDA16F5">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验收的规范是否符合要求；</w:t>
      </w:r>
    </w:p>
    <w:p w14:paraId="26E932ED">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工程实体的质量安全、功能性是否符合要求。</w:t>
      </w:r>
    </w:p>
    <w:p w14:paraId="56B16ED8">
      <w:pPr>
        <w:spacing w:line="560" w:lineRule="exact"/>
        <w:ind w:firstLine="640" w:firstLineChars="200"/>
        <w:rPr>
          <w:rFonts w:ascii="仿宋" w:hAnsi="仿宋" w:eastAsia="仿宋"/>
          <w:sz w:val="32"/>
          <w:szCs w:val="32"/>
        </w:rPr>
      </w:pPr>
      <w:r>
        <w:rPr>
          <w:rFonts w:hint="eastAsia" w:ascii="仿宋" w:hAnsi="仿宋" w:eastAsia="仿宋"/>
          <w:sz w:val="32"/>
          <w:szCs w:val="32"/>
        </w:rPr>
        <w:t>（四）建立监管档案</w:t>
      </w:r>
    </w:p>
    <w:p w14:paraId="1E6963E0">
      <w:pPr>
        <w:spacing w:line="560" w:lineRule="exact"/>
        <w:ind w:firstLine="640" w:firstLineChars="200"/>
        <w:rPr>
          <w:rFonts w:ascii="仿宋" w:hAnsi="仿宋" w:eastAsia="仿宋"/>
          <w:sz w:val="32"/>
          <w:szCs w:val="32"/>
        </w:rPr>
      </w:pPr>
      <w:r>
        <w:rPr>
          <w:rFonts w:hint="eastAsia" w:ascii="仿宋" w:hAnsi="仿宋" w:eastAsia="仿宋"/>
          <w:sz w:val="32"/>
          <w:szCs w:val="32"/>
        </w:rPr>
        <w:t>建设工程竣工验收监管档案主要内容包括：</w:t>
      </w:r>
      <w:r>
        <w:rPr>
          <w:rFonts w:ascii="仿宋" w:hAnsi="仿宋" w:eastAsia="仿宋"/>
          <w:sz w:val="32"/>
          <w:szCs w:val="32"/>
        </w:rPr>
        <w:t>1</w:t>
      </w:r>
      <w:r>
        <w:rPr>
          <w:rFonts w:hint="eastAsia" w:ascii="仿宋" w:hAnsi="仿宋" w:eastAsia="仿宋"/>
          <w:sz w:val="32"/>
          <w:szCs w:val="32"/>
        </w:rPr>
        <w:t>、工程竣工验收通知单</w:t>
      </w:r>
      <w:r>
        <w:rPr>
          <w:rFonts w:ascii="仿宋" w:hAnsi="仿宋" w:eastAsia="仿宋"/>
          <w:sz w:val="32"/>
          <w:szCs w:val="32"/>
        </w:rPr>
        <w:t>;2</w:t>
      </w:r>
      <w:r>
        <w:rPr>
          <w:rFonts w:hint="eastAsia" w:ascii="仿宋" w:hAnsi="仿宋" w:eastAsia="仿宋"/>
          <w:sz w:val="32"/>
          <w:szCs w:val="32"/>
        </w:rPr>
        <w:t>、现场监督检查方案；</w:t>
      </w:r>
      <w:r>
        <w:rPr>
          <w:rFonts w:ascii="仿宋" w:hAnsi="仿宋" w:eastAsia="仿宋"/>
          <w:sz w:val="32"/>
          <w:szCs w:val="32"/>
        </w:rPr>
        <w:t>3</w:t>
      </w:r>
      <w:r>
        <w:rPr>
          <w:rFonts w:hint="eastAsia" w:ascii="仿宋" w:hAnsi="仿宋" w:eastAsia="仿宋"/>
          <w:sz w:val="32"/>
          <w:szCs w:val="32"/>
        </w:rPr>
        <w:t>、整改通知单；</w:t>
      </w:r>
      <w:r>
        <w:rPr>
          <w:rFonts w:ascii="仿宋" w:hAnsi="仿宋" w:eastAsia="仿宋"/>
          <w:sz w:val="32"/>
          <w:szCs w:val="32"/>
        </w:rPr>
        <w:t>4</w:t>
      </w:r>
      <w:r>
        <w:rPr>
          <w:rFonts w:hint="eastAsia" w:ascii="仿宋" w:hAnsi="仿宋" w:eastAsia="仿宋"/>
          <w:sz w:val="32"/>
          <w:szCs w:val="32"/>
        </w:rPr>
        <w:t>、现场实体照片；</w:t>
      </w:r>
    </w:p>
    <w:p w14:paraId="76DFD4F6">
      <w:pPr>
        <w:spacing w:line="560" w:lineRule="exact"/>
        <w:ind w:firstLine="640" w:firstLineChars="200"/>
        <w:rPr>
          <w:rFonts w:ascii="仿宋" w:hAnsi="仿宋" w:eastAsia="仿宋"/>
          <w:sz w:val="32"/>
          <w:szCs w:val="32"/>
        </w:rPr>
      </w:pPr>
      <w:r>
        <w:rPr>
          <w:rFonts w:hint="eastAsia" w:ascii="仿宋" w:hAnsi="仿宋" w:eastAsia="仿宋"/>
          <w:sz w:val="32"/>
          <w:szCs w:val="32"/>
        </w:rPr>
        <w:t>（五）信用监管</w:t>
      </w:r>
    </w:p>
    <w:p w14:paraId="4739B531">
      <w:pPr>
        <w:spacing w:line="560" w:lineRule="exact"/>
        <w:ind w:firstLine="640" w:firstLineChars="200"/>
        <w:rPr>
          <w:rFonts w:ascii="仿宋" w:hAnsi="仿宋" w:eastAsia="仿宋"/>
          <w:sz w:val="32"/>
          <w:szCs w:val="32"/>
          <w:lang w:val="zh-CN"/>
        </w:rPr>
      </w:pPr>
      <w:r>
        <w:rPr>
          <w:rFonts w:hint="eastAsia" w:ascii="仿宋" w:hAnsi="仿宋" w:eastAsia="仿宋"/>
          <w:sz w:val="32"/>
          <w:szCs w:val="32"/>
        </w:rPr>
        <w:t>责任监督工程师应在监督检中对项目的检查情况进行客观评价，并通过安徽省工程建设监管平台“监管通”对其进行客观评分。</w:t>
      </w:r>
    </w:p>
    <w:p w14:paraId="1EB51D25">
      <w:pPr>
        <w:spacing w:line="560" w:lineRule="exact"/>
        <w:ind w:firstLine="645"/>
        <w:rPr>
          <w:rFonts w:hint="eastAsia" w:ascii="黑体" w:hAnsi="黑体" w:eastAsia="黑体" w:cs="黑体"/>
          <w:sz w:val="32"/>
          <w:szCs w:val="32"/>
          <w:lang w:val="zh-CN"/>
        </w:rPr>
      </w:pPr>
      <w:r>
        <w:rPr>
          <w:rFonts w:hint="eastAsia" w:ascii="黑体" w:hAnsi="黑体" w:eastAsia="黑体" w:cs="黑体"/>
          <w:sz w:val="32"/>
          <w:szCs w:val="32"/>
          <w:lang w:val="zh-CN"/>
        </w:rPr>
        <w:t>三、事后监管</w:t>
      </w:r>
    </w:p>
    <w:p w14:paraId="6532A8FC">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（一）个人或组织发现工程参建各方责任主体在工程竣工验收过程中有违法违规现象，有权向祁门县住房和城乡建设局举报（举报电话：</w:t>
      </w:r>
      <w:r>
        <w:rPr>
          <w:rFonts w:ascii="仿宋" w:hAnsi="仿宋" w:eastAsia="仿宋"/>
          <w:sz w:val="32"/>
          <w:szCs w:val="32"/>
          <w:lang w:val="zh-CN"/>
        </w:rPr>
        <w:t>0559-</w:t>
      </w:r>
      <w:r>
        <w:rPr>
          <w:rFonts w:hint="eastAsia" w:ascii="仿宋" w:hAnsi="仿宋" w:eastAsia="仿宋"/>
          <w:sz w:val="32"/>
          <w:szCs w:val="32"/>
          <w:lang w:val="zh-CN"/>
        </w:rPr>
        <w:t>4</w:t>
      </w:r>
      <w:r>
        <w:rPr>
          <w:rFonts w:hint="eastAsia" w:ascii="仿宋" w:hAnsi="仿宋" w:eastAsia="仿宋"/>
          <w:sz w:val="32"/>
          <w:szCs w:val="32"/>
          <w:lang w:val="en-US" w:eastAsia="zh-CN"/>
        </w:rPr>
        <w:t>512045</w:t>
      </w:r>
      <w:bookmarkStart w:id="0" w:name="_GoBack"/>
      <w:bookmarkEnd w:id="0"/>
      <w:r>
        <w:rPr>
          <w:rFonts w:hint="eastAsia" w:ascii="仿宋" w:hAnsi="仿宋" w:eastAsia="仿宋"/>
          <w:sz w:val="32"/>
          <w:szCs w:val="32"/>
          <w:lang w:val="zh-CN"/>
        </w:rPr>
        <w:t>），县住建局将及时核实、处理，并将核实、处理结果书面告知举报人。</w:t>
      </w:r>
    </w:p>
    <w:p w14:paraId="194E804E">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（二）对项目竣工验收过程中发现的违法问题，符合立案条件的，及时立案查处。</w:t>
      </w:r>
    </w:p>
    <w:p w14:paraId="2D638A2F">
      <w:pPr>
        <w:spacing w:line="560" w:lineRule="exact"/>
        <w:ind w:firstLine="800" w:firstLineChars="250"/>
        <w:rPr>
          <w:rFonts w:ascii="仿宋" w:hAnsi="仿宋" w:eastAsia="仿宋"/>
          <w:sz w:val="32"/>
          <w:szCs w:val="32"/>
          <w:lang w:val="zh-CN"/>
        </w:rPr>
      </w:pPr>
      <w:r>
        <w:rPr>
          <w:rFonts w:hint="eastAsia" w:ascii="仿宋" w:hAnsi="仿宋" w:eastAsia="仿宋"/>
          <w:sz w:val="32"/>
          <w:szCs w:val="32"/>
          <w:lang w:val="zh-CN"/>
        </w:rPr>
        <w:t>(四)对违法、违规行为记入不良行为记录，并纳入信用监管体系，</w:t>
      </w:r>
      <w:r>
        <w:rPr>
          <w:rFonts w:hint="eastAsia" w:ascii="仿宋" w:hAnsi="仿宋" w:eastAsia="仿宋"/>
          <w:color w:val="000000"/>
          <w:kern w:val="0"/>
          <w:sz w:val="32"/>
          <w:szCs w:val="32"/>
          <w:lang w:val="zh-CN"/>
        </w:rPr>
        <w:t>建立信用约束机制</w:t>
      </w:r>
      <w:r>
        <w:rPr>
          <w:rFonts w:hint="eastAsia" w:ascii="仿宋" w:hAnsi="仿宋" w:eastAsia="仿宋"/>
          <w:sz w:val="32"/>
          <w:szCs w:val="32"/>
          <w:lang w:val="zh-CN"/>
        </w:rPr>
        <w:t>。</w:t>
      </w:r>
    </w:p>
    <w:p w14:paraId="09A6D873">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（五）行政相对人和利害关系人对祁门县住房和城乡建设局在该许可工作中做出的具体行政决定不服的，可以自收到决定之日起</w:t>
      </w:r>
      <w:r>
        <w:rPr>
          <w:rFonts w:ascii="仿宋" w:hAnsi="仿宋" w:eastAsia="仿宋"/>
          <w:sz w:val="32"/>
          <w:szCs w:val="32"/>
          <w:lang w:val="zh-CN"/>
        </w:rPr>
        <w:t>60</w:t>
      </w:r>
      <w:r>
        <w:rPr>
          <w:rFonts w:hint="eastAsia" w:ascii="仿宋" w:hAnsi="仿宋" w:eastAsia="仿宋"/>
          <w:sz w:val="32"/>
          <w:szCs w:val="32"/>
          <w:lang w:val="zh-CN"/>
        </w:rPr>
        <w:t>日内向祁门县人民政府或者市住建局申请行政复议，也可以于</w:t>
      </w:r>
      <w:r>
        <w:rPr>
          <w:rFonts w:ascii="仿宋" w:hAnsi="仿宋" w:eastAsia="仿宋"/>
          <w:sz w:val="32"/>
          <w:szCs w:val="32"/>
          <w:lang w:val="zh-CN"/>
        </w:rPr>
        <w:t>6</w:t>
      </w:r>
      <w:r>
        <w:rPr>
          <w:rFonts w:hint="eastAsia" w:ascii="仿宋" w:hAnsi="仿宋" w:eastAsia="仿宋"/>
          <w:sz w:val="32"/>
          <w:szCs w:val="32"/>
          <w:lang w:val="zh-CN"/>
        </w:rPr>
        <w:t>个月内依法向人民法院提起行政诉讼。行政复议或者行政诉讼期间，行政决定不停在执行。</w:t>
      </w:r>
    </w:p>
    <w:p w14:paraId="5CB3C892">
      <w:pPr>
        <w:spacing w:line="560" w:lineRule="exact"/>
        <w:ind w:firstLine="645"/>
        <w:rPr>
          <w:rFonts w:hint="eastAsia" w:ascii="黑体" w:hAnsi="黑体" w:eastAsia="黑体" w:cs="黑体"/>
          <w:sz w:val="32"/>
          <w:szCs w:val="32"/>
          <w:lang w:val="zh-CN"/>
        </w:rPr>
      </w:pPr>
      <w:r>
        <w:rPr>
          <w:rFonts w:hint="eastAsia" w:ascii="黑体" w:hAnsi="黑体" w:eastAsia="黑体" w:cs="黑体"/>
          <w:sz w:val="32"/>
          <w:szCs w:val="32"/>
          <w:lang w:val="zh-CN"/>
        </w:rPr>
        <w:t>四、责任追溯</w:t>
      </w:r>
    </w:p>
    <w:p w14:paraId="74728976">
      <w:pPr>
        <w:spacing w:line="560" w:lineRule="exact"/>
        <w:ind w:firstLine="640" w:firstLineChars="200"/>
        <w:rPr>
          <w:rFonts w:ascii="仿宋" w:hAnsi="仿宋" w:eastAsia="仿宋" w:cs="黑体"/>
          <w:sz w:val="32"/>
          <w:szCs w:val="32"/>
        </w:rPr>
      </w:pPr>
      <w:r>
        <w:rPr>
          <w:rFonts w:hint="eastAsia" w:ascii="仿宋" w:hAnsi="仿宋" w:eastAsia="仿宋"/>
          <w:sz w:val="32"/>
          <w:szCs w:val="32"/>
          <w:lang w:val="zh-CN"/>
        </w:rPr>
        <w:t>（一）加强层级监督。祁门县住房和城乡建设局对城建股是否履行监管责任进行监督问责；对日常监管中发现的问题是否依法处理，是否存在不作为、乱作为等进行监督问责；对上级机关交办的案件是否认真调查并按时报告调查结果进行监督问责。</w:t>
      </w:r>
    </w:p>
    <w:p w14:paraId="7EF7A194">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二）加强人员监督。对不符合竣工验收条件的项目给予竣工验收通过；或者对符合竣工验收通过条件的单位不给予竣工验收通过；或者超越法定职权、超过法定期限、不按法定程序给予核准决定的，对直接负责的主管人员和其他直接责任人员依法给予处分，构成犯罪的，依法追究刑事责任。祁门县住房和城乡建设局加强人员监督，重点对监管人员是否定期赴现场检查、是否严格执行监管措施、是否认真填报检查事项进行监督问责。</w:t>
      </w:r>
    </w:p>
    <w:p w14:paraId="52179A25">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（三）加强社会监督。个人或组织发现祁门县住房和城乡建设局负责核准的主管人员和工作人员在竣工验收监督活动中有违法违规现象，有权向祁门县住房和城乡建设局举报（举报电话：</w:t>
      </w:r>
      <w:r>
        <w:rPr>
          <w:rFonts w:ascii="仿宋" w:hAnsi="仿宋" w:eastAsia="仿宋"/>
          <w:sz w:val="32"/>
          <w:szCs w:val="32"/>
          <w:lang w:val="zh-CN"/>
        </w:rPr>
        <w:t>0559-</w:t>
      </w:r>
      <w:r>
        <w:rPr>
          <w:rFonts w:hint="eastAsia" w:ascii="仿宋" w:hAnsi="仿宋" w:eastAsia="仿宋"/>
          <w:sz w:val="32"/>
          <w:szCs w:val="32"/>
          <w:lang w:val="en-US" w:eastAsia="zh-CN"/>
        </w:rPr>
        <w:t>4512045</w:t>
      </w:r>
      <w:r>
        <w:rPr>
          <w:rFonts w:hint="eastAsia" w:ascii="仿宋" w:hAnsi="仿宋" w:eastAsia="仿宋"/>
          <w:sz w:val="32"/>
          <w:szCs w:val="32"/>
          <w:lang w:val="zh-CN"/>
        </w:rPr>
        <w:t>），县住建局将及时核实、处理，并将核实、处理结果书面告知举报人。</w:t>
      </w:r>
    </w:p>
    <w:p w14:paraId="0D08073F">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四）建立责任追究机制。监管责任追究实行过错责任追究，根据过错责任的大小实施相应的追究方式。包括：责令改正、责令做出书面检查、给予通报批评、调离执法岗位或者吊销执法证件、停职、给予行政处分等；涉嫌犯罪的，移交司法机关处理。</w:t>
      </w:r>
    </w:p>
    <w:p w14:paraId="6A398AF3">
      <w:pPr>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五、保障措施</w:t>
      </w:r>
    </w:p>
    <w:p w14:paraId="4106A7E8">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一）祁门县住房和城乡建设局要高度重视建设工程竣工验收管理事中事后监管工作，本着“公平、公正、公开、透明”的原则，强化组织领导，完善监管办法，落实保障措施，严肃查处问题，确保事中事后监管工作有序进行。</w:t>
      </w:r>
    </w:p>
    <w:p w14:paraId="108EA5CD">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（二）理清权责边界。针对权力交叉、监管空白等问题，根据“属地管理”原则，明确权力范围和责任范围，建立上下联动监管机制。</w:t>
      </w:r>
    </w:p>
    <w:p w14:paraId="048234F0">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（三）加强人员培训。祁门县住房和城乡建设局应当加强对行政执法人员法律、法规、标准和专业知识与执法能力培训，并适时组织考核。不具备相应知识和能力的，不得从事建筑业行政执法工作。</w:t>
      </w:r>
    </w:p>
    <w:p w14:paraId="1E2DCDD8">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（四）加强政策宣传。运用多种方式宣传建设工程竣工验收管理规定的法律法规，提升管理人员的公仆意识。</w:t>
      </w:r>
    </w:p>
    <w:p w14:paraId="6F484FA0">
      <w:pPr>
        <w:spacing w:line="560" w:lineRule="exact"/>
        <w:ind w:firstLine="640" w:firstLineChars="200"/>
        <w:rPr>
          <w:rFonts w:hint="eastAsia" w:ascii="黑体" w:hAnsi="黑体" w:eastAsia="黑体" w:cs="黑体"/>
          <w:sz w:val="32"/>
          <w:szCs w:val="32"/>
          <w:lang w:val="zh-CN"/>
        </w:rPr>
      </w:pPr>
      <w:r>
        <w:rPr>
          <w:rFonts w:hint="eastAsia" w:ascii="黑体" w:hAnsi="黑体" w:eastAsia="黑体" w:cs="黑体"/>
          <w:sz w:val="32"/>
          <w:szCs w:val="32"/>
          <w:lang w:val="zh-CN"/>
        </w:rPr>
        <w:t>六、主要依据</w:t>
      </w:r>
    </w:p>
    <w:p w14:paraId="4054DF14">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（一）《城市道路管理条例》（</w:t>
      </w:r>
      <w:r>
        <w:rPr>
          <w:rFonts w:ascii="仿宋" w:hAnsi="仿宋" w:eastAsia="仿宋"/>
          <w:sz w:val="32"/>
          <w:szCs w:val="32"/>
          <w:lang w:val="zh-CN"/>
        </w:rPr>
        <w:t>国务院令第710号</w:t>
      </w:r>
      <w:r>
        <w:rPr>
          <w:rFonts w:hint="eastAsia" w:ascii="仿宋" w:hAnsi="仿宋" w:eastAsia="仿宋"/>
          <w:sz w:val="32"/>
          <w:szCs w:val="32"/>
          <w:lang w:val="zh-CN"/>
        </w:rPr>
        <w:t>）第十七条；</w:t>
      </w:r>
    </w:p>
    <w:p w14:paraId="33140D47">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（二）《安徽省市政设施管理条例》第十六条、第十七条和第四十三条；</w:t>
      </w:r>
    </w:p>
    <w:p w14:paraId="2892CCFA">
      <w:pPr>
        <w:spacing w:line="560" w:lineRule="exact"/>
        <w:ind w:firstLine="640" w:firstLineChars="200"/>
        <w:rPr>
          <w:rFonts w:ascii="仿宋" w:hAnsi="仿宋" w:eastAsia="仿宋"/>
          <w:sz w:val="32"/>
          <w:szCs w:val="32"/>
          <w:lang w:val="zh-CN"/>
        </w:rPr>
      </w:pPr>
      <w:r>
        <w:rPr>
          <w:rFonts w:hint="eastAsia" w:ascii="仿宋" w:hAnsi="仿宋" w:eastAsia="仿宋"/>
          <w:sz w:val="32"/>
          <w:szCs w:val="32"/>
          <w:lang w:val="zh-CN"/>
        </w:rPr>
        <w:t>（三）《城市照明管理规定》（2010年住房和城乡建设部令第4号）第二十四条。</w:t>
      </w:r>
    </w:p>
    <w:p w14:paraId="16B3AB92">
      <w:pPr>
        <w:spacing w:line="560" w:lineRule="exact"/>
        <w:rPr>
          <w:rFonts w:ascii="仿宋" w:hAnsi="仿宋" w:eastAsia="仿宋"/>
          <w:sz w:val="32"/>
          <w:szCs w:val="32"/>
          <w:lang w:val="zh-CN"/>
        </w:rPr>
      </w:pPr>
    </w:p>
    <w:p w14:paraId="27076BF6">
      <w:pPr>
        <w:spacing w:line="560" w:lineRule="exact"/>
        <w:ind w:firstLine="3360" w:firstLineChars="1050"/>
        <w:rPr>
          <w:rFonts w:ascii="仿宋" w:hAnsi="仿宋" w:eastAsia="仿宋"/>
          <w:sz w:val="32"/>
          <w:szCs w:val="32"/>
          <w:lang w:val="zh-CN"/>
        </w:rPr>
      </w:pPr>
      <w:r>
        <w:rPr>
          <w:rFonts w:hint="eastAsia" w:ascii="仿宋" w:hAnsi="仿宋" w:eastAsia="仿宋"/>
          <w:sz w:val="32"/>
          <w:szCs w:val="32"/>
          <w:lang w:val="zh-CN"/>
        </w:rPr>
        <w:t>.</w:t>
      </w:r>
    </w:p>
    <w:p w14:paraId="462E593F">
      <w:pPr>
        <w:tabs>
          <w:tab w:val="left" w:pos="1862"/>
        </w:tabs>
        <w:spacing w:line="560" w:lineRule="exact"/>
        <w:rPr>
          <w:rFonts w:ascii="仿宋" w:hAnsi="仿宋" w:eastAsia="仿宋"/>
          <w:sz w:val="32"/>
          <w:szCs w:val="32"/>
          <w:lang w:val="zh-CN"/>
        </w:rPr>
      </w:pPr>
    </w:p>
    <w:p w14:paraId="164F8B99">
      <w:pPr>
        <w:spacing w:line="560" w:lineRule="exact"/>
        <w:jc w:val="center"/>
        <w:rPr>
          <w:rFonts w:ascii="方正小标宋_GBK" w:hAnsi="宋体" w:eastAsia="方正小标宋_GBK"/>
          <w:bCs/>
          <w:sz w:val="44"/>
          <w:szCs w:val="44"/>
        </w:rPr>
      </w:pPr>
    </w:p>
    <w:p w14:paraId="2A713662">
      <w:pPr>
        <w:spacing w:line="560" w:lineRule="exact"/>
        <w:jc w:val="center"/>
        <w:rPr>
          <w:rFonts w:ascii="方正小标宋_GBK" w:hAnsi="宋体" w:eastAsia="方正小标宋_GBK"/>
          <w:bCs/>
          <w:sz w:val="44"/>
          <w:szCs w:val="44"/>
        </w:rPr>
      </w:pPr>
    </w:p>
    <w:p w14:paraId="25CEDE05">
      <w:pPr>
        <w:spacing w:line="560" w:lineRule="exact"/>
        <w:jc w:val="center"/>
        <w:rPr>
          <w:rFonts w:ascii="方正小标宋_GBK" w:hAnsi="宋体" w:eastAsia="方正小标宋_GBK"/>
          <w:bCs/>
          <w:sz w:val="44"/>
          <w:szCs w:val="44"/>
        </w:rPr>
      </w:pPr>
    </w:p>
    <w:p w14:paraId="28FF98BD">
      <w:pPr>
        <w:spacing w:line="560" w:lineRule="exact"/>
        <w:jc w:val="center"/>
        <w:rPr>
          <w:rFonts w:ascii="方正小标宋_GBK" w:hAnsi="宋体" w:eastAsia="方正小标宋_GBK"/>
          <w:bCs/>
          <w:sz w:val="44"/>
          <w:szCs w:val="44"/>
        </w:rPr>
      </w:pPr>
    </w:p>
    <w:p w14:paraId="05AC964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7AAD76C0"/>
    <w:rsid w:val="21DA0154"/>
    <w:rsid w:val="3E830F49"/>
    <w:rsid w:val="437F4407"/>
    <w:rsid w:val="7AAD7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2602</Words>
  <Characters>2648</Characters>
  <Lines>0</Lines>
  <Paragraphs>0</Paragraphs>
  <TotalTime>0</TotalTime>
  <ScaleCrop>false</ScaleCrop>
  <LinksUpToDate>false</LinksUpToDate>
  <CharactersWithSpaces>2648</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2024-01-18T17:02:00Z</dcterms:created>
  <dc:creator>沉默的小布芬</dc:creator>
  <cp:lastModifiedBy>QM-536</cp:lastModifiedBy>
  <dcterms:modified xsi:type="dcterms:W3CDTF">2026-02-10T15:46:36Z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3070EF1CA21FA0315DE28A69A2560DDE_43</vt:lpwstr>
  </property>
</Properties>
</file>