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6389D">
      <w:pPr>
        <w:jc w:val="center"/>
        <w:rPr>
          <w:rFonts w:hint="eastAsia" w:ascii="宋体" w:hAnsi="宋体" w:cs="宋体"/>
          <w:b/>
          <w:bCs/>
          <w:sz w:val="44"/>
          <w:szCs w:val="44"/>
          <w:lang w:val="en-US" w:eastAsia="zh-CN"/>
        </w:rPr>
      </w:pPr>
    </w:p>
    <w:p w14:paraId="5A38A8F7">
      <w:pPr>
        <w:jc w:val="center"/>
        <w:rPr>
          <w:rFonts w:hint="eastAsia" w:ascii="宋体" w:hAnsi="宋体" w:eastAsia="宋体" w:cs="宋体"/>
          <w:b/>
          <w:bCs/>
          <w:sz w:val="44"/>
          <w:szCs w:val="44"/>
        </w:rPr>
      </w:pPr>
      <w:r>
        <w:rPr>
          <w:rFonts w:hint="eastAsia" w:ascii="宋体" w:hAnsi="宋体" w:cs="宋体"/>
          <w:b/>
          <w:bCs/>
          <w:sz w:val="44"/>
          <w:szCs w:val="44"/>
          <w:lang w:val="en-US" w:eastAsia="zh-CN"/>
        </w:rPr>
        <w:t>29.</w:t>
      </w:r>
      <w:r>
        <w:rPr>
          <w:rFonts w:hint="eastAsia" w:ascii="宋体" w:hAnsi="宋体" w:eastAsia="宋体" w:cs="宋体"/>
          <w:b/>
          <w:bCs/>
          <w:sz w:val="44"/>
          <w:szCs w:val="44"/>
        </w:rPr>
        <w:t>城市供水水质突发事件应急预案备案</w:t>
      </w:r>
    </w:p>
    <w:p w14:paraId="560E0ACA">
      <w:pPr>
        <w:jc w:val="center"/>
        <w:rPr>
          <w:rFonts w:hint="eastAsia" w:ascii="宋体" w:hAnsi="宋体" w:eastAsia="宋体" w:cs="宋体"/>
          <w:b/>
          <w:bCs/>
          <w:sz w:val="44"/>
          <w:szCs w:val="44"/>
        </w:rPr>
      </w:pPr>
      <w:r>
        <w:rPr>
          <w:rFonts w:hint="eastAsia" w:ascii="宋体" w:hAnsi="宋体" w:eastAsia="宋体" w:cs="宋体"/>
          <w:b/>
          <w:bCs/>
          <w:sz w:val="44"/>
          <w:szCs w:val="44"/>
        </w:rPr>
        <w:t>事中事后监管细则</w:t>
      </w:r>
    </w:p>
    <w:p w14:paraId="572F41CC">
      <w:pPr>
        <w:jc w:val="center"/>
        <w:rPr>
          <w:rFonts w:hint="eastAsia" w:ascii="宋体" w:hAnsi="宋体" w:eastAsia="宋体" w:cs="宋体"/>
          <w:b/>
          <w:bCs/>
          <w:sz w:val="44"/>
          <w:szCs w:val="44"/>
        </w:rPr>
      </w:pPr>
    </w:p>
    <w:p w14:paraId="17C2E54A">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为深入推进简政放权、放管结合、优化服务</w:t>
      </w:r>
      <w:r>
        <w:rPr>
          <w:rFonts w:hint="eastAsia" w:ascii="仿宋_GB2312" w:hAnsi="仿宋" w:eastAsia="仿宋_GB2312" w:cs="仿宋_GB2312"/>
          <w:sz w:val="32"/>
          <w:szCs w:val="32"/>
          <w:lang w:val="zh-CN"/>
        </w:rPr>
        <w:t>，加强城市供水水质突发事件应急预案事中事后</w:t>
      </w:r>
      <w:r>
        <w:rPr>
          <w:rFonts w:hint="eastAsia" w:ascii="仿宋" w:hAnsi="仿宋" w:eastAsia="仿宋"/>
          <w:sz w:val="32"/>
          <w:szCs w:val="32"/>
        </w:rPr>
        <w:t>监管工作，规范行政行为，根据相关法律法规和</w:t>
      </w:r>
      <w:r>
        <w:rPr>
          <w:rFonts w:hint="eastAsia" w:ascii="仿宋" w:hAnsi="仿宋" w:eastAsia="仿宋" w:cs="仿宋_GB2312"/>
          <w:sz w:val="32"/>
          <w:szCs w:val="32"/>
          <w:lang w:val="zh-CN"/>
        </w:rPr>
        <w:t>《安徽省住房和城乡建设厅行政权力运行监管细则》</w:t>
      </w:r>
      <w:r>
        <w:rPr>
          <w:rFonts w:hint="eastAsia" w:ascii="仿宋" w:hAnsi="仿宋" w:eastAsia="仿宋"/>
          <w:sz w:val="32"/>
          <w:szCs w:val="32"/>
        </w:rPr>
        <w:t>，制定本监管细则。</w:t>
      </w:r>
    </w:p>
    <w:p w14:paraId="288DAEA2">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bookmarkStart w:id="0" w:name="_GoBack"/>
      <w:bookmarkEnd w:id="0"/>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w:t>
      </w:r>
      <w:r>
        <w:rPr>
          <w:rFonts w:hint="eastAsia" w:ascii="仿宋" w:hAnsi="仿宋" w:eastAsia="仿宋" w:cs="仿宋_GB2312"/>
          <w:color w:val="000000"/>
          <w:kern w:val="0"/>
          <w:sz w:val="32"/>
          <w:szCs w:val="32"/>
          <w:lang w:val="en-US" w:eastAsia="zh-CN"/>
        </w:rPr>
        <w:t>29</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，项目名称：城市供水水质突发事件应急预案备案。</w:t>
      </w:r>
    </w:p>
    <w:p w14:paraId="56ECB153">
      <w:pPr>
        <w:adjustRightIn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一、基本原则</w:t>
      </w:r>
    </w:p>
    <w:p w14:paraId="4CCA3FD1">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一）坚持“法无授权不可为、法定职权必须为”的原则。必须在法律规定的框架下开展，法律法规规定属于政府部门应当监管的事项和可采取的监管措施，必须严格按照法律法规的规定予以确定，纳入监管细则，对没有法定依据的，一律不得作为监管任务、监管措施。</w:t>
      </w:r>
    </w:p>
    <w:p w14:paraId="458EDFCA">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314CEC77">
      <w:pPr>
        <w:adjustRightIn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14:paraId="62361254">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县住房和城乡建设局</w:t>
      </w:r>
      <w:r>
        <w:rPr>
          <w:rFonts w:ascii="仿宋" w:hAnsi="仿宋" w:eastAsia="仿宋"/>
          <w:sz w:val="32"/>
          <w:szCs w:val="32"/>
        </w:rPr>
        <w:t>是</w:t>
      </w:r>
      <w:r>
        <w:rPr>
          <w:rFonts w:hint="eastAsia" w:ascii="仿宋" w:hAnsi="仿宋" w:eastAsia="仿宋"/>
          <w:sz w:val="32"/>
          <w:szCs w:val="32"/>
        </w:rPr>
        <w:t>城市供水水质突发事件应急预案备案</w:t>
      </w:r>
      <w:r>
        <w:rPr>
          <w:rFonts w:ascii="仿宋" w:hAnsi="仿宋" w:eastAsia="仿宋"/>
          <w:sz w:val="32"/>
          <w:szCs w:val="32"/>
        </w:rPr>
        <w:t>的部门</w:t>
      </w:r>
      <w:r>
        <w:rPr>
          <w:rFonts w:hint="eastAsia" w:ascii="仿宋" w:hAnsi="仿宋" w:eastAsia="仿宋"/>
          <w:sz w:val="32"/>
          <w:szCs w:val="32"/>
        </w:rPr>
        <w:t>。</w:t>
      </w:r>
    </w:p>
    <w:p w14:paraId="19BAF810">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资料审查</w:t>
      </w:r>
    </w:p>
    <w:p w14:paraId="565983F9">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城市供水单位提供供水水质突发事件应急预案（原件、复印件各一份，</w:t>
      </w:r>
      <w:r>
        <w:rPr>
          <w:rFonts w:ascii="仿宋" w:hAnsi="仿宋" w:eastAsia="仿宋"/>
          <w:sz w:val="32"/>
          <w:szCs w:val="32"/>
        </w:rPr>
        <w:t>原件查验后退回</w:t>
      </w:r>
      <w:r>
        <w:rPr>
          <w:rFonts w:hint="eastAsia" w:ascii="仿宋" w:hAnsi="仿宋" w:eastAsia="仿宋"/>
          <w:sz w:val="32"/>
          <w:szCs w:val="32"/>
        </w:rPr>
        <w:t>）</w:t>
      </w:r>
    </w:p>
    <w:p w14:paraId="76787EA9">
      <w:pPr>
        <w:adjustRightInd w:val="0"/>
        <w:spacing w:line="560" w:lineRule="exact"/>
        <w:ind w:firstLine="640" w:firstLineChars="20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审查监管</w:t>
      </w:r>
    </w:p>
    <w:p w14:paraId="7B697F62">
      <w:pPr>
        <w:autoSpaceDE w:val="0"/>
        <w:autoSpaceDN w:val="0"/>
        <w:spacing w:line="560" w:lineRule="exact"/>
        <w:ind w:firstLine="640" w:firstLineChars="200"/>
        <w:rPr>
          <w:rFonts w:hint="eastAsia" w:ascii="仿宋" w:hAnsi="仿宋" w:eastAsia="仿宋" w:cs="仿宋_GB2312"/>
          <w:sz w:val="32"/>
          <w:szCs w:val="32"/>
          <w:lang w:val="zh-CN"/>
        </w:rPr>
      </w:pPr>
      <w:r>
        <w:rPr>
          <w:rFonts w:hint="eastAsia" w:ascii="仿宋" w:hAnsi="仿宋" w:eastAsia="仿宋" w:cs="仿宋_GB2312"/>
          <w:sz w:val="32"/>
          <w:szCs w:val="32"/>
          <w:lang w:val="zh-CN"/>
        </w:rPr>
        <w:t>县住建局按照办事事项的条件、标准，审核申请材料是否齐全、符合法定形式，对符合条件的，提出同意的审查意见；对不符合条件的，提出不同意及理由。</w:t>
      </w:r>
    </w:p>
    <w:p w14:paraId="5FA0A14F">
      <w:pPr>
        <w:autoSpaceDE w:val="0"/>
        <w:autoSpaceDN w:val="0"/>
        <w:spacing w:line="560" w:lineRule="exact"/>
        <w:ind w:firstLine="640" w:firstLineChars="200"/>
        <w:rPr>
          <w:rFonts w:hint="eastAsia" w:ascii="仿宋" w:hAnsi="仿宋" w:eastAsia="仿宋" w:cs="仿宋_GB2312"/>
          <w:sz w:val="32"/>
          <w:szCs w:val="32"/>
          <w:lang w:val="zh-CN"/>
        </w:rPr>
      </w:pPr>
      <w:r>
        <w:rPr>
          <w:rFonts w:hint="eastAsia" w:ascii="仿宋" w:hAnsi="仿宋" w:eastAsia="仿宋" w:cs="仿宋_GB2312"/>
          <w:sz w:val="32"/>
          <w:szCs w:val="32"/>
          <w:lang w:val="zh-CN"/>
        </w:rPr>
        <w:t>（三）实施信用监管。</w:t>
      </w:r>
    </w:p>
    <w:p w14:paraId="388BCE88">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建立信用监管档案。采集、记录日常监管、违法违规、举报投诉、表彰奖励等信息。定期评定申请人安全信用等级，并根据信用等级评定结果，对失信企业加大监督检查频次，实施重点监管。对严重违反相关法律法规规章的，按照规定纳入城市管理领域“黑名单”管理。</w:t>
      </w:r>
    </w:p>
    <w:p w14:paraId="78C3337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（四）实施协同监管。</w:t>
      </w:r>
    </w:p>
    <w:p w14:paraId="05014CD7">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按照权责匹配、权责一致的原则，推进监管信息共享。加强县住建局与相关部门的沟通协作，建立健全行政审批、行业主管与后续监管协调一致的监管机制。</w:t>
      </w:r>
    </w:p>
    <w:p w14:paraId="06D4DC4D">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7BD6E936">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任何单位和个人发现在城市供水水质突发事件应急预案备案时存在违法行为，有权向县住建局举报，县住建局应当及时核实、处理，并将处理结果及时反馈给举报人。举报地址：祁门县住建局，举报电话：</w:t>
      </w:r>
      <w:r>
        <w:rPr>
          <w:rFonts w:ascii="仿宋" w:hAnsi="仿宋" w:eastAsia="仿宋" w:cs="仿宋_GB2312"/>
          <w:sz w:val="32"/>
          <w:szCs w:val="32"/>
          <w:lang w:val="zh-CN"/>
        </w:rPr>
        <w:t>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lang w:val="zh-CN"/>
        </w:rPr>
        <w:t>。</w:t>
      </w:r>
    </w:p>
    <w:p w14:paraId="0EBDDADC">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0BC58949">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加强人员监督。对不符合备案条件的申请人发放准予行政许可决定书；或者对符合备案条件的申请人不发放准予行政许可决定书；或者超越法定职权、超过法定期限、不按法定程序发放准予行政许可决定书的，对直接负责的主管人员和其他直接责任人员依法给予处分，构成犯罪的，依法追究刑事责任。县住建局加强人员监督，重点对监管执法人员是否定期赴现场检查、是否严格执行监管措施、是否认真填报检查事项进行监督问责。</w:t>
      </w:r>
    </w:p>
    <w:p w14:paraId="1EA7C5C3">
      <w:pPr>
        <w:autoSpaceDE w:val="0"/>
        <w:autoSpaceDN w:val="0"/>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建立责任追究机制。监管责任追究实行过错责任追究，根据过错责任的大小实施相应的追究方式。包括：责令改正、责令做出书面检查、给予通报批评、调离工作岗位或者停职、给予行政处分、没收和追缴违法违纪所得；涉嫌犯罪的，移交司法机关处理。</w:t>
      </w:r>
    </w:p>
    <w:p w14:paraId="2DE1F024">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46574D5F">
      <w:pPr>
        <w:spacing w:line="560" w:lineRule="exact"/>
        <w:ind w:firstLine="640" w:firstLineChars="200"/>
        <w:rPr>
          <w:rFonts w:ascii="仿宋" w:hAnsi="仿宋" w:eastAsia="仿宋"/>
          <w:sz w:val="32"/>
          <w:szCs w:val="32"/>
        </w:rPr>
      </w:pPr>
      <w:r>
        <w:rPr>
          <w:rFonts w:hint="eastAsia" w:ascii="仿宋" w:hAnsi="仿宋" w:eastAsia="仿宋"/>
          <w:sz w:val="32"/>
          <w:szCs w:val="32"/>
        </w:rPr>
        <w:t>（一）高度重视</w:t>
      </w:r>
      <w:r>
        <w:rPr>
          <w:rFonts w:hint="eastAsia" w:ascii="仿宋" w:hAnsi="仿宋" w:eastAsia="仿宋" w:cs="仿宋_GB2312"/>
          <w:sz w:val="32"/>
          <w:szCs w:val="32"/>
          <w:lang w:val="zh-CN"/>
        </w:rPr>
        <w:t>城市供水水质突发事件应急预案备案</w:t>
      </w:r>
      <w:r>
        <w:rPr>
          <w:rFonts w:hint="eastAsia" w:ascii="仿宋" w:hAnsi="仿宋" w:eastAsia="仿宋"/>
          <w:sz w:val="32"/>
          <w:szCs w:val="32"/>
        </w:rPr>
        <w:t>事中事后监管工作，彻底解决“重审批轻监管”的问题。强化组织领导，落实保障措施，严格追责，确保事中事后监管工作有序推进。</w:t>
      </w:r>
    </w:p>
    <w:p w14:paraId="7D3BE54D">
      <w:pPr>
        <w:spacing w:line="560" w:lineRule="exact"/>
        <w:ind w:firstLine="640" w:firstLineChars="200"/>
        <w:rPr>
          <w:rFonts w:ascii="仿宋" w:hAnsi="仿宋" w:eastAsia="仿宋"/>
          <w:sz w:val="32"/>
          <w:szCs w:val="32"/>
        </w:rPr>
      </w:pPr>
      <w:r>
        <w:rPr>
          <w:rFonts w:hint="eastAsia" w:ascii="仿宋" w:hAnsi="仿宋" w:eastAsia="仿宋"/>
          <w:sz w:val="32"/>
          <w:szCs w:val="32"/>
        </w:rPr>
        <w:t>（二）切实加强对供水管理工作人员的法律、法规、标准和专业知识等培训，不具备相应知识和能力的，不得从审查工作。</w:t>
      </w:r>
    </w:p>
    <w:p w14:paraId="07C60F23">
      <w:pPr>
        <w:autoSpaceDE w:val="0"/>
        <w:autoSpaceDN w:val="0"/>
        <w:spacing w:line="560" w:lineRule="exact"/>
        <w:ind w:firstLine="640" w:firstLineChars="200"/>
        <w:rPr>
          <w:rFonts w:ascii="仿宋" w:hAnsi="仿宋" w:eastAsia="仿宋"/>
          <w:sz w:val="32"/>
          <w:szCs w:val="32"/>
        </w:rPr>
      </w:pPr>
      <w:r>
        <w:rPr>
          <w:rFonts w:hint="eastAsia" w:ascii="仿宋" w:hAnsi="仿宋" w:eastAsia="仿宋"/>
          <w:sz w:val="32"/>
          <w:szCs w:val="32"/>
        </w:rPr>
        <w:t>（三）</w:t>
      </w:r>
      <w:r>
        <w:rPr>
          <w:rFonts w:hint="eastAsia" w:ascii="仿宋" w:hAnsi="仿宋" w:eastAsia="仿宋" w:cs="仿宋_GB2312"/>
          <w:sz w:val="32"/>
          <w:szCs w:val="32"/>
          <w:lang w:val="zh-CN"/>
        </w:rPr>
        <w:t>运用多种方式宣传供水方面的相关法律法规，提升管理相对人和公众的法律意识。建立社会公众参与机制，保障公众能够对相关情况进行监督。</w:t>
      </w:r>
    </w:p>
    <w:p w14:paraId="3F52728F">
      <w:pPr>
        <w:adjustRightInd w:val="0"/>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2C444BD9">
      <w:pPr>
        <w:spacing w:line="560" w:lineRule="exact"/>
        <w:ind w:firstLine="640" w:firstLineChars="200"/>
        <w:rPr>
          <w:rFonts w:ascii="仿宋" w:hAnsi="仿宋" w:eastAsia="仿宋"/>
          <w:b/>
          <w:sz w:val="32"/>
          <w:szCs w:val="32"/>
        </w:rPr>
      </w:pPr>
      <w:r>
        <w:rPr>
          <w:rFonts w:hint="eastAsia" w:ascii="仿宋" w:hAnsi="仿宋" w:eastAsia="仿宋"/>
          <w:sz w:val="32"/>
          <w:szCs w:val="32"/>
        </w:rPr>
        <w:t>《城市供水水质管理规定》（</w:t>
      </w:r>
      <w:r>
        <w:rPr>
          <w:rFonts w:ascii="仿宋" w:hAnsi="仿宋" w:eastAsia="仿宋"/>
          <w:sz w:val="32"/>
          <w:szCs w:val="32"/>
        </w:rPr>
        <w:t>建设部令第156号</w:t>
      </w:r>
      <w:r>
        <w:rPr>
          <w:rFonts w:hint="eastAsia" w:ascii="仿宋" w:hAnsi="仿宋" w:eastAsia="仿宋"/>
          <w:sz w:val="32"/>
          <w:szCs w:val="32"/>
        </w:rPr>
        <w:t>）第二十四条。</w:t>
      </w:r>
    </w:p>
    <w:p w14:paraId="24DD85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D565BDC"/>
    <w:rsid w:val="1F0D31AB"/>
    <w:rsid w:val="2CF73723"/>
    <w:rsid w:val="55D36D5C"/>
    <w:rsid w:val="5D7E6EC9"/>
    <w:rsid w:val="62311B64"/>
    <w:rsid w:val="7D56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1464</Words>
  <Characters>1483</Characters>
  <Lines>0</Lines>
  <Paragraphs>0</Paragraphs>
  <TotalTime>0</TotalTime>
  <ScaleCrop>false</ScaleCrop>
  <LinksUpToDate>false</LinksUpToDate>
  <CharactersWithSpaces>1483</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2024-01-18T16:59:00Z</dcterms:created>
  <dc:creator>沉默的小布芬</dc:creator>
  <cp:lastModifiedBy>QM-536</cp:lastModifiedBy>
  <dcterms:modified xsi:type="dcterms:W3CDTF">2026-02-10T15:45:52Z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9C3862F9764A568F30E28A695D133AF4_43</vt:lpwstr>
  </property>
  <property fmtid="{D5CDD505-2E9C-101B-9397-08002B2CF9AE}" pid="4" name="KSOTemplateDocerSaveRecord">
    <vt:lpwstr>eyJoZGlkIjoiZDdkMTE2MDY1YjBhZTliODY2MjhhMzAyMjhkZGFjNjIiLCJ1c2VySWQiOiI5ODc1Mzc4MjcifQ==</vt:lpwstr>
  </property>
</Properties>
</file>