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312D2">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en-US" w:eastAsia="zh-CN"/>
        </w:rPr>
      </w:pPr>
    </w:p>
    <w:p w14:paraId="3CC46DBC">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zh-CN"/>
        </w:rPr>
      </w:pPr>
      <w:r>
        <w:rPr>
          <w:rFonts w:hint="eastAsia" w:asciiTheme="minorEastAsia" w:hAnsiTheme="minorEastAsia" w:eastAsiaTheme="minorEastAsia" w:cstheme="minorEastAsia"/>
          <w:b/>
          <w:bCs/>
          <w:kern w:val="2"/>
          <w:sz w:val="44"/>
          <w:szCs w:val="44"/>
          <w:lang w:val="en-US" w:eastAsia="zh-CN"/>
        </w:rPr>
        <w:t>28.</w:t>
      </w:r>
      <w:r>
        <w:rPr>
          <w:rFonts w:hint="eastAsia" w:asciiTheme="minorEastAsia" w:hAnsiTheme="minorEastAsia" w:eastAsiaTheme="minorEastAsia" w:cstheme="minorEastAsia"/>
          <w:b/>
          <w:bCs/>
          <w:kern w:val="2"/>
          <w:sz w:val="44"/>
          <w:szCs w:val="44"/>
          <w:lang w:val="zh-CN"/>
        </w:rPr>
        <w:t>燃气工程竣工验收备案事中事后</w:t>
      </w:r>
    </w:p>
    <w:p w14:paraId="3B516418">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zh-CN"/>
        </w:rPr>
      </w:pPr>
      <w:r>
        <w:rPr>
          <w:rFonts w:hint="eastAsia" w:asciiTheme="minorEastAsia" w:hAnsiTheme="minorEastAsia" w:eastAsiaTheme="minorEastAsia" w:cstheme="minorEastAsia"/>
          <w:b/>
          <w:bCs/>
          <w:kern w:val="2"/>
          <w:sz w:val="44"/>
          <w:szCs w:val="44"/>
          <w:lang w:val="zh-CN"/>
        </w:rPr>
        <w:t>监管细则</w:t>
      </w:r>
    </w:p>
    <w:p w14:paraId="1BF63790">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zh-CN"/>
        </w:rPr>
      </w:pPr>
    </w:p>
    <w:p w14:paraId="4824A4B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为深入推进简政放权、放管结合、优化服务，加强燃气工程竣工验收备案事中事后监管工作，规范行政行为，根据《安徽省城镇燃气管理条例》和《安徽省住房和城乡建设厅行政权力运行监管细则》，结合燃气工程竣工验收备案实际，制定本监管细则。</w:t>
      </w:r>
    </w:p>
    <w:p w14:paraId="10EFD3C5">
      <w:pPr>
        <w:keepNext w:val="0"/>
        <w:keepLines w:val="0"/>
        <w:pageBreakBefore w:val="0"/>
        <w:kinsoku/>
        <w:wordWrap/>
        <w:overflowPunct/>
        <w:topLinePunct w:val="0"/>
        <w:autoSpaceDE w:val="0"/>
        <w:autoSpaceDN w:val="0"/>
        <w:bidi w:val="0"/>
        <w:spacing w:after="0" w:line="560" w:lineRule="exact"/>
        <w:ind w:firstLine="640" w:firstLineChars="200"/>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28</w:t>
      </w:r>
      <w:r>
        <w:rPr>
          <w:rFonts w:hint="eastAsia" w:ascii="仿宋_GB2312" w:hAnsi="仿宋" w:eastAsia="仿宋_GB2312" w:cs="仿宋_GB2312"/>
          <w:sz w:val="32"/>
          <w:szCs w:val="32"/>
          <w:lang w:val="zh-CN"/>
        </w:rPr>
        <w:t>项，权力类型：其他权力，项目名称为：燃气工程竣工验收备案。</w:t>
      </w:r>
    </w:p>
    <w:p w14:paraId="4F2CF41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一、监管任务</w:t>
      </w:r>
    </w:p>
    <w:p w14:paraId="1E5436C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祁门县住房和城乡建设局依照相关法律、法规的规定，接受燃气工程竣工验收的备案申请。</w:t>
      </w:r>
    </w:p>
    <w:p w14:paraId="7E61651C">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具体包括以下事项：</w:t>
      </w:r>
    </w:p>
    <w:p w14:paraId="3610FA16">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（一）燃气工程验收结果。</w:t>
      </w:r>
    </w:p>
    <w:p w14:paraId="045FD82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（二）对申请单位（个人）隐瞒有关情况、提供虚假材料申请备案、申请单位（个人）以欺骗贿赂等不正当手段通过备案等违法违规行为的查处。</w:t>
      </w:r>
    </w:p>
    <w:p w14:paraId="200D4F92">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（三）检查本单位的工作人员在燃气工程竣工验收备案和监管工作中，是否存在玩忽职守、滥用职权、徇私舞弊等情况。</w:t>
      </w:r>
    </w:p>
    <w:p w14:paraId="1A19A87D">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（四）检查是否存在其他违反相关法律法规的情形。</w:t>
      </w:r>
    </w:p>
    <w:p w14:paraId="0727456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二、事中监管</w:t>
      </w:r>
    </w:p>
    <w:p w14:paraId="2BB1BC3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（一）明确检查程序。</w:t>
      </w:r>
    </w:p>
    <w:p w14:paraId="05B34C4B">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1.制定监督检查方案，并经审核批准。现场检查方案应根据监督检查要求制定，写明日程安排、检查标准和检查内容、检查组成员及分工等。</w:t>
      </w:r>
    </w:p>
    <w:p w14:paraId="5BBC683B">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2.实施监督检查。检查人员应不少于2人，检查前应出示执法证件，检查采取当场查验、咨询相关部门和群众等方式，检查人员要填写抽查检查记录，如实记录检查情况。</w:t>
      </w:r>
    </w:p>
    <w:p w14:paraId="34BA9AC3">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3.综合评定意见。应当以现场检查报告形式告知被检测单位，如实记录现场检查全过程的主要内容，并做出综合综合评定意见，需要整改的应当提出整改内容及整改期限。现场检查报告内容包括被检查单位基本情况、检查内容、上次检查缺陷项目整改情况、本次检查发现的主要问题和建议、检查人员和被检查单位主要负责人或授权人签字等。</w:t>
      </w:r>
    </w:p>
    <w:p w14:paraId="3E11A6B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4.按照法定程序和要求公布监管信息。</w:t>
      </w:r>
    </w:p>
    <w:p w14:paraId="238866F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（二）实施现场检查。</w:t>
      </w:r>
    </w:p>
    <w:p w14:paraId="363B9C1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1.是否依法取得《准予行政许可决定书》。</w:t>
      </w:r>
    </w:p>
    <w:p w14:paraId="29D70C3D">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2.单位就有关问题做出的说明。</w:t>
      </w:r>
    </w:p>
    <w:p w14:paraId="627BDEB7">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3.其他法律法规规定的事项。</w:t>
      </w:r>
    </w:p>
    <w:p w14:paraId="050A91A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（三）建立监管档案。</w:t>
      </w:r>
    </w:p>
    <w:p w14:paraId="50852B0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县住房和城乡建设局建立本行政区域内对燃气工程竣工验收备案的监管档案。监管档案主要内容包括：1.《准予行政许可决定书》复印件。《准予行政许可决定书》变更记录页或批件。2.申请人相关材料，申请人相关变更情况的备案资料。3.监督检查报告、企业（个人）整改报告及整改复查报告。4.事故处理的有关材料。5.违法、违规等不良行为记录。6.其他应列入监督档案的资料。</w:t>
      </w:r>
    </w:p>
    <w:p w14:paraId="160320B3">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（四）实施信用监管。</w:t>
      </w:r>
    </w:p>
    <w:p w14:paraId="5B26C566">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建立信用监管档案。采集、记录日常监管、违法违规、举报投诉、表彰奖励等信息。定期评定申请人安全信用等级，并根据信用等级评定结果，对失信企业加大监督检查频次，实施重点监管。对严重违反相关法律法规规章的，按照规定纳入城市管理领域“黑名单”管理。</w:t>
      </w:r>
    </w:p>
    <w:p w14:paraId="3D1EBB3A">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（五）实施协同监管。</w:t>
      </w:r>
    </w:p>
    <w:p w14:paraId="4A310E9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按照权责匹配、权责一致的原则，推进监管信息共享。加强县住建局与招投标等部门的沟通协作，建立健全行政审批、行业主管与后续监管协调一致的监管机制。</w:t>
      </w:r>
    </w:p>
    <w:p w14:paraId="4BFC050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三、事后监管</w:t>
      </w:r>
    </w:p>
    <w:p w14:paraId="122FE248">
      <w:pPr>
        <w:keepNext w:val="0"/>
        <w:keepLines w:val="0"/>
        <w:pageBreakBefore w:val="0"/>
        <w:kinsoku/>
        <w:wordWrap/>
        <w:overflowPunct/>
        <w:topLinePunct w:val="0"/>
        <w:bidi w:val="0"/>
        <w:spacing w:after="0" w:line="560" w:lineRule="exact"/>
        <w:ind w:firstLine="640" w:firstLineChars="200"/>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任何单位和个人发现在燃气工程竣工验收备案时存在违法行为，有权向县住建局举报，县住建局应当及时核实、处理，并将处理结果及时反馈给举报人。举报地址：祁门县住建局，举报电话：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4512045</w:t>
      </w:r>
      <w:bookmarkStart w:id="0" w:name="_GoBack"/>
      <w:bookmarkEnd w:id="0"/>
      <w:r>
        <w:rPr>
          <w:rFonts w:hint="eastAsia" w:ascii="仿宋_GB2312" w:hAnsi="仿宋" w:eastAsia="仿宋_GB2312" w:cs="仿宋_GB2312"/>
          <w:sz w:val="32"/>
          <w:szCs w:val="32"/>
          <w:lang w:val="zh-CN"/>
        </w:rPr>
        <w:t>。</w:t>
      </w:r>
    </w:p>
    <w:p w14:paraId="255BC397">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四、责任追溯</w:t>
      </w:r>
    </w:p>
    <w:p w14:paraId="77F7BA96">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一）加强人员监督。对不符合备案条件的申请人发放准予行政许可决定书；或者对符合备案条件的申请人不发放准予行政许可决定书；或者超越法定职权、超过法定期限、不按法定程序发放准予行政许可决定书的，对直接负责的主管人员和其他直接责任人员依法</w:t>
      </w:r>
      <w:r>
        <w:rPr>
          <w:rFonts w:hint="eastAsia" w:ascii="仿宋_GB2312" w:hAnsi="仿宋" w:eastAsia="仿宋_GB2312" w:cs="仿宋_GB2312"/>
          <w:sz w:val="32"/>
          <w:szCs w:val="32"/>
          <w:lang w:val="zh-CN" w:eastAsia="zh-CN"/>
        </w:rPr>
        <w:t>给予</w:t>
      </w:r>
      <w:r>
        <w:rPr>
          <w:rFonts w:hint="eastAsia" w:ascii="仿宋_GB2312" w:hAnsi="仿宋" w:eastAsia="仿宋_GB2312" w:cs="仿宋_GB2312"/>
          <w:sz w:val="32"/>
          <w:szCs w:val="32"/>
          <w:lang w:val="zh-CN"/>
        </w:rPr>
        <w:t>处分，构成犯罪的，依法追究刑事责任。县住建局加强人员监督，重点对监管执法人员是否定期赴现场检查、是否严格执行监管措施、是否认真填报检查事项进行监督问责。</w:t>
      </w:r>
    </w:p>
    <w:p w14:paraId="7D890C8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建立责任追究机制。监管责任追究实行过错责任追究，根据过错责任的大小实施相应的追究方式。包括：责令改正、责令作出书面检查、给予通报批评、调离工作岗位或者停职、给予行政处分、没收和追缴违法违纪所得；涉嫌犯罪的，移交司法机关处理。</w:t>
      </w:r>
    </w:p>
    <w:p w14:paraId="0003C6C8">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五、保障措施</w:t>
      </w:r>
    </w:p>
    <w:p w14:paraId="550B8A1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加强普法宣传。运用多种方式宣传燃气方面的相关法律法规，提升管理相对人和公众的法律意识。建立社会公众参与机制，保障公众能够对实施特许经营情况进行监督。</w:t>
      </w:r>
    </w:p>
    <w:p w14:paraId="1CB6A88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六、主要依据</w:t>
      </w:r>
    </w:p>
    <w:p w14:paraId="38FE8518">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hint="eastAsia" w:ascii="仿宋_GB2312" w:hAnsi="仿宋" w:eastAsia="仿宋_GB2312" w:cs="仿宋_GB2312"/>
          <w:sz w:val="32"/>
          <w:szCs w:val="32"/>
          <w:lang w:val="zh-CN"/>
        </w:rPr>
      </w:pPr>
      <w:r>
        <w:rPr>
          <w:rFonts w:hint="eastAsia" w:ascii="仿宋_GB2312" w:hAnsi="仿宋" w:eastAsia="仿宋_GB2312" w:cs="仿宋_GB2312"/>
          <w:sz w:val="32"/>
          <w:szCs w:val="32"/>
          <w:lang w:val="zh-CN"/>
        </w:rPr>
        <w:t>（一）《城镇燃气管理条例》第十一条第三款；</w:t>
      </w:r>
    </w:p>
    <w:p w14:paraId="509A961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（二）《安徽省城镇燃气管理条例》第十三条。</w:t>
      </w:r>
    </w:p>
    <w:p w14:paraId="643B420B">
      <w:pPr>
        <w:keepNext w:val="0"/>
        <w:keepLines w:val="0"/>
        <w:pageBreakBefore w:val="0"/>
        <w:kinsoku/>
        <w:wordWrap/>
        <w:overflowPunct/>
        <w:topLinePunct w:val="0"/>
        <w:bidi w:val="0"/>
        <w:spacing w:after="0" w:line="560" w:lineRule="exact"/>
        <w:textAlignment w:val="auto"/>
        <w:outlineLvl w:val="9"/>
      </w:pPr>
    </w:p>
    <w:p w14:paraId="00D0BE6D"/>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13E1DB6"/>
    <w:rsid w:val="113E1DB6"/>
    <w:rsid w:val="4D3F224C"/>
    <w:rsid w:val="4F0F5B66"/>
    <w:rsid w:val="72A24FFF"/>
    <w:rsid w:val="7BDB3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1709</Words>
  <Characters>1739</Characters>
  <Lines>0</Lines>
  <Paragraphs>0</Paragraphs>
  <TotalTime>0</TotalTime>
  <ScaleCrop>false</ScaleCrop>
  <LinksUpToDate>false</LinksUpToDate>
  <CharactersWithSpaces>1739</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2024-01-18T16:52:00Z</dcterms:created>
  <dc:creator>沉默的小布芬</dc:creator>
  <cp:lastModifiedBy>QM-536</cp:lastModifiedBy>
  <dcterms:modified xsi:type="dcterms:W3CDTF">2026-02-10T15:45:21Z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37D325B532B5474411E28A696CF7183D_43</vt:lpwstr>
  </property>
  <property fmtid="{D5CDD505-2E9C-101B-9397-08002B2CF9AE}" pid="4" name="KSOTemplateDocerSaveRecord">
    <vt:lpwstr>eyJoZGlkIjoiM2RmMzNjYWMzOGRlYzJmNTAyMGRhYjM5YjYzM2Y2NTYiLCJ1c2VySWQiOiI0OTcyODYwNzIifQ==</vt:lpwstr>
  </property>
</Properties>
</file>