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052A">
      <w:pPr>
        <w:jc w:val="center"/>
        <w:rPr>
          <w:rFonts w:hint="eastAsia" w:ascii="宋体" w:hAnsi="宋体" w:cs="宋体"/>
          <w:b/>
          <w:bCs/>
          <w:sz w:val="44"/>
          <w:szCs w:val="44"/>
          <w:lang w:val="en-US" w:eastAsia="zh-CN"/>
        </w:rPr>
      </w:pPr>
    </w:p>
    <w:p w14:paraId="7F375997">
      <w:pPr>
        <w:jc w:val="center"/>
        <w:rPr>
          <w:rFonts w:hint="eastAsia" w:ascii="宋体" w:hAnsi="宋体" w:eastAsia="宋体" w:cs="宋体"/>
          <w:b/>
          <w:bCs/>
          <w:sz w:val="44"/>
          <w:szCs w:val="44"/>
        </w:rPr>
      </w:pPr>
      <w:r>
        <w:rPr>
          <w:rFonts w:hint="eastAsia" w:ascii="宋体" w:hAnsi="宋体" w:cs="宋体"/>
          <w:b/>
          <w:bCs/>
          <w:sz w:val="44"/>
          <w:szCs w:val="44"/>
          <w:lang w:val="en-US" w:eastAsia="zh-CN"/>
        </w:rPr>
        <w:t>27.</w:t>
      </w:r>
      <w:r>
        <w:rPr>
          <w:rFonts w:hint="eastAsia" w:ascii="宋体" w:hAnsi="宋体" w:eastAsia="宋体" w:cs="宋体"/>
          <w:b/>
          <w:bCs/>
          <w:sz w:val="44"/>
          <w:szCs w:val="44"/>
        </w:rPr>
        <w:t>城镇排水与污水处理设施工程竣工验收  备案事中事后监管细则</w:t>
      </w:r>
    </w:p>
    <w:p w14:paraId="10296338">
      <w:pPr>
        <w:jc w:val="center"/>
        <w:rPr>
          <w:rFonts w:hint="eastAsia" w:ascii="宋体" w:hAnsi="宋体" w:eastAsia="宋体" w:cs="宋体"/>
          <w:b/>
          <w:bCs/>
          <w:sz w:val="44"/>
          <w:szCs w:val="44"/>
          <w:lang w:val="zh-CN"/>
        </w:rPr>
      </w:pPr>
    </w:p>
    <w:p w14:paraId="169CC52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为深入推进简政放权、放管结合、优化服务，加强城镇排水与污水处理设施工程竣工验收备案事中事后监管工作，规范行政行为，根据相关法律法规和《安徽省住房和城乡建设厅行政权力运行监管细则》，制定本监管细则。</w:t>
      </w:r>
    </w:p>
    <w:p w14:paraId="38591536">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27</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，项目名称：城镇排水与污水处理设施工程竣工验收备案。</w:t>
      </w:r>
    </w:p>
    <w:p w14:paraId="422C5D3E">
      <w:pPr>
        <w:tabs>
          <w:tab w:val="center" w:pos="4473"/>
        </w:tabs>
        <w:autoSpaceDE w:val="0"/>
        <w:autoSpaceDN w:val="0"/>
        <w:spacing w:line="560" w:lineRule="exact"/>
        <w:ind w:firstLine="640" w:firstLineChars="200"/>
        <w:rPr>
          <w:rFonts w:ascii="仿宋" w:hAnsi="仿宋" w:eastAsia="仿宋" w:cs="仿宋_GB2312"/>
          <w:sz w:val="32"/>
          <w:szCs w:val="32"/>
          <w:lang w:val="zh-CN"/>
        </w:rPr>
      </w:pPr>
      <w:r>
        <w:rPr>
          <w:rFonts w:hint="eastAsia" w:ascii="黑体" w:hAnsi="黑体" w:eastAsia="黑体" w:cs="黑体"/>
          <w:sz w:val="32"/>
          <w:szCs w:val="32"/>
          <w:lang w:val="zh-CN"/>
        </w:rPr>
        <w:t>一、监管任务</w:t>
      </w:r>
      <w:r>
        <w:rPr>
          <w:rFonts w:ascii="仿宋" w:hAnsi="仿宋" w:eastAsia="仿宋" w:cs="仿宋_GB2312"/>
          <w:sz w:val="32"/>
          <w:szCs w:val="32"/>
          <w:lang w:val="zh-CN"/>
        </w:rPr>
        <w:tab/>
      </w:r>
    </w:p>
    <w:p w14:paraId="7D11FA9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县住房和城乡建设局依照相关法律、法规的规定，接受排水与污水处理设施工程竣工验收的备案申请。</w:t>
      </w:r>
    </w:p>
    <w:p w14:paraId="331C153B">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具体包括以下事项：</w:t>
      </w:r>
    </w:p>
    <w:p w14:paraId="1DE74CBF">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（一）排水与污水处理设施工程验收结果。</w:t>
      </w:r>
    </w:p>
    <w:p w14:paraId="55D8DDCA">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（二）对申请单位（个人）隐瞒有关情况、提供虚假材料申请备案、申请单位（个人）以欺骗贿赂等不正当手段通过备案等违法违规行为的查处。</w:t>
      </w:r>
    </w:p>
    <w:p w14:paraId="74F627D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（三）检查本单位的工作人员在排水与污水处理设施工程竣工验收备案和监管工作中，是否存在玩忽职守、滥用职权、徇私舞弊等情况。</w:t>
      </w:r>
    </w:p>
    <w:p w14:paraId="722F27C4">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（四）检查是否存在其他违反相关法律法规的情形。</w:t>
      </w:r>
    </w:p>
    <w:p w14:paraId="6F318EB9">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二、事中监管</w:t>
      </w:r>
    </w:p>
    <w:p w14:paraId="31D8319E">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（一）明确检查程序。</w:t>
      </w:r>
    </w:p>
    <w:p w14:paraId="04C5F435">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1.制定监督检查方案，并经审核批准。现场检查方案应根据监督检查要求制定，写明日程安排、检查标准和检查内容、检查组成员及分工等。</w:t>
      </w:r>
    </w:p>
    <w:p w14:paraId="1BCE84E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2.实施监督检查。检查人员应不少于2人，检查前应出示执法证件，检查采取当场查验、咨询相关部门和群众等方式，检查人员要填写抽查检查记录，如实记录检查情况。</w:t>
      </w:r>
    </w:p>
    <w:p w14:paraId="38B84EBB">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3.综合评定意见。应当以现场检查报告形式告知被检测单位，如实记录现场检查全过程的主要内容，并做出综合综合评定意见，可要整改的应当提出整改内容及整改期限。现场检查报告内容包括被检查单位基本情况、检查内容、上次检查缺陷项目整改情况、本次检查发现的主要问题和建议、检查人员和被检查单位主要负责人或授权人签字等。</w:t>
      </w:r>
    </w:p>
    <w:p w14:paraId="5D2D1925">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4.按照法定程序和要求公布监管信息。</w:t>
      </w:r>
    </w:p>
    <w:p w14:paraId="72CD5B36">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（二）实施现场检查。</w:t>
      </w:r>
    </w:p>
    <w:p w14:paraId="112C68E9">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1.是否依法取得《准予行政许可决定书》。</w:t>
      </w:r>
    </w:p>
    <w:p w14:paraId="14901D29">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2.单位就有关问题做出的说明。</w:t>
      </w:r>
    </w:p>
    <w:p w14:paraId="4BBE6082">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3.其他法律法规规定的事项。</w:t>
      </w:r>
    </w:p>
    <w:p w14:paraId="7134CF64">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（三）建立监管档案。</w:t>
      </w:r>
    </w:p>
    <w:p w14:paraId="48AC1050">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县住房和城乡建设局建立本行政区域内对排水与污水处理设施工程竣工验收备案的监管档案。监管档案主要内容包括：1.《准予行政许可决定书》复印件。《准予行政许可决定书》变更记录页或批件。2.申请人相关材料，申请人相关变更情况的备案资料。3.监督检查报告、企业（个人）整改报告及整改复查报告。4.事故处理的有关材料。5.违法、违规等不良行为记录。6.其他应列入监督档案的资料。</w:t>
      </w:r>
    </w:p>
    <w:p w14:paraId="42037BB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（四）实施信用监管。</w:t>
      </w:r>
    </w:p>
    <w:p w14:paraId="384C9106">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建立信用监管档案。采集、记录日常监管、违法违规、举报投诉、表彰奖励等信息。定期评定申请人安全信用等级，并根据信用等级评定结果，对失信企业加大监督检查频次，实施重点监管。对严重违反相关法律法规规章的，按照规定纳入城市管理领域“黑名单”管理。</w:t>
      </w:r>
    </w:p>
    <w:p w14:paraId="36381E14">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（五）实施协同监管。</w:t>
      </w:r>
    </w:p>
    <w:p w14:paraId="64710EA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按照权责匹配、权责一致的原则，推进监管信息共享。加强县住建局与相关部门的沟通协作，建立健全行政审批、行业主管与后续监管协调一致的监管机制。</w:t>
      </w:r>
    </w:p>
    <w:p w14:paraId="6001A010">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三、事后监管</w:t>
      </w:r>
    </w:p>
    <w:p w14:paraId="75FC4715">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任何单位和个人发现在排水与污水处理设施工程竣工验收备案时存在违法行为，有权向县住建局举报，县住建局应当及时核实、处理，并将处理结果及时反馈给举报人。举报地址：祁门县住建局，举报电话：</w:t>
      </w:r>
      <w:r>
        <w:rPr>
          <w:rFonts w:ascii="仿宋" w:hAnsi="仿宋" w:eastAsia="仿宋" w:cs="仿宋_GB2312"/>
          <w:sz w:val="32"/>
          <w:szCs w:val="32"/>
          <w:lang w:val="zh-CN"/>
        </w:rPr>
        <w:t>0559-</w:t>
      </w:r>
      <w:r>
        <w:rPr>
          <w:rFonts w:hint="eastAsia" w:ascii="仿宋" w:hAnsi="仿宋" w:eastAsia="仿宋" w:cs="仿宋_GB2312"/>
          <w:sz w:val="32"/>
          <w:szCs w:val="32"/>
          <w:lang w:val="en-US" w:eastAsia="zh-CN"/>
        </w:rPr>
        <w:t>4512045</w:t>
      </w:r>
      <w:bookmarkStart w:id="0" w:name="_GoBack"/>
      <w:bookmarkEnd w:id="0"/>
      <w:r>
        <w:rPr>
          <w:rFonts w:hint="eastAsia" w:ascii="仿宋" w:hAnsi="仿宋" w:eastAsia="仿宋" w:cs="仿宋_GB2312"/>
          <w:sz w:val="32"/>
          <w:szCs w:val="32"/>
          <w:lang w:val="zh-CN"/>
        </w:rPr>
        <w:t>。</w:t>
      </w:r>
    </w:p>
    <w:p w14:paraId="614081D7">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7AF5BC5E">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加强人员监督。对不符合备案条件的申请人发放准予行政许可决定书；或者对符合备案条件的申请人不发放准予行政许可决定书；或者超越法定职权、超过法定期限、不按法定程序发放准予行政许可决定书的，对直接负责的主管人员和其他直接责任人员依法给予处分，构成犯罪的，依法追究刑事责任。县住建局加强人员监督，重点对监管执法人员是否定期赴现场检查、是否严格执行监管措施、是否认真填报检查事项进行监督问责。</w:t>
      </w:r>
    </w:p>
    <w:p w14:paraId="67FC0BA5">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建立责任追究机制。监管责任追究实行过错责任追究，根据过错责任的大小实施相应的追究方式。包括：责令改正、责令做出书面检查、给予通报批评、调离工作岗位或者停职、给予行政处分、没收和追缴违法违纪所得；涉嫌犯罪的，移交司法机关处理。</w:t>
      </w:r>
    </w:p>
    <w:p w14:paraId="3C0B8544">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518C88A8">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运用多种方式宣传排水与污水处理设施工程方面的相关法律法规，提升管理相对人和公众的法律意识。建立社会公众参与机制，保障公众能够对相关情况进行监督。</w:t>
      </w:r>
    </w:p>
    <w:p w14:paraId="01701EB1">
      <w:pPr>
        <w:tabs>
          <w:tab w:val="center" w:pos="4473"/>
        </w:tabs>
        <w:autoSpaceDE w:val="0"/>
        <w:autoSpaceDN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4850C73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《城镇排水与污水处理条例》第十五条。</w:t>
      </w:r>
    </w:p>
    <w:p w14:paraId="68A8B6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2613A95"/>
    <w:rsid w:val="53762741"/>
    <w:rsid w:val="557E4F78"/>
    <w:rsid w:val="69211C7F"/>
    <w:rsid w:val="72613A95"/>
    <w:rsid w:val="F3DDD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1718</Words>
  <Characters>1748</Characters>
  <Lines>0</Lines>
  <Paragraphs>0</Paragraphs>
  <TotalTime>0</TotalTime>
  <ScaleCrop>false</ScaleCrop>
  <LinksUpToDate>false</LinksUpToDate>
  <CharactersWithSpaces>1751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2024-01-18T16:48:00Z</dcterms:created>
  <dc:creator>沉默的小布芬</dc:creator>
  <cp:lastModifiedBy>QM-536</cp:lastModifiedBy>
  <dcterms:modified xsi:type="dcterms:W3CDTF">2026-02-10T15:44:40Z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4329696295209D39E8E18A69BD07CEFA_43</vt:lpwstr>
  </property>
  <property fmtid="{D5CDD505-2E9C-101B-9397-08002B2CF9AE}" pid="4" name="KSOTemplateDocerSaveRecord">
    <vt:lpwstr>eyJoZGlkIjoiZDdkMTE2MDY1YjBhZTliODY2MjhhMzAyMjhkZGFjNjIiLCJ1c2VySWQiOiI5ODc1Mzc4MjcifQ==</vt:lpwstr>
  </property>
</Properties>
</file>