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F774FF">
      <w:pPr>
        <w:spacing w:line="560" w:lineRule="exact"/>
        <w:jc w:val="center"/>
        <w:rPr>
          <w:rFonts w:ascii="方正小标宋简体" w:hAnsi="宋体" w:eastAsia="方正小标宋简体" w:cs="仿宋_GB2312"/>
          <w:sz w:val="44"/>
          <w:szCs w:val="44"/>
        </w:rPr>
      </w:pPr>
      <w:r>
        <w:rPr>
          <w:rFonts w:hint="eastAsia" w:ascii="方正小标宋简体" w:hAnsi="宋体" w:eastAsia="方正小标宋简体" w:cs="仿宋_GB2312"/>
          <w:sz w:val="44"/>
          <w:szCs w:val="44"/>
          <w:lang w:val="en-US" w:eastAsia="zh-CN"/>
        </w:rPr>
        <w:t>22</w:t>
      </w:r>
      <w:r>
        <w:rPr>
          <w:rFonts w:hint="eastAsia" w:ascii="方正小标宋简体" w:hAnsi="宋体" w:eastAsia="方正小标宋简体" w:cs="仿宋_GB2312"/>
          <w:sz w:val="44"/>
          <w:szCs w:val="44"/>
        </w:rPr>
        <w:t>.业主委员会备案事中事后监管细则</w:t>
      </w:r>
    </w:p>
    <w:p w14:paraId="7D114894">
      <w:pPr>
        <w:spacing w:line="560" w:lineRule="exact"/>
        <w:ind w:firstLine="640"/>
        <w:jc w:val="center"/>
        <w:rPr>
          <w:rFonts w:ascii="宋体" w:hAnsi="宋体" w:cs="仿宋_GB2312"/>
          <w:sz w:val="44"/>
          <w:szCs w:val="44"/>
        </w:rPr>
      </w:pPr>
    </w:p>
    <w:p w14:paraId="736A3CD9">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为深入推进简政放权、放管结合、优化服务，加强业主委员会备案事中事后监管工作，规范行政行为，根据相关法律法规和《</w:t>
      </w:r>
      <w:r>
        <w:rPr>
          <w:rFonts w:hint="eastAsia" w:ascii="仿宋" w:hAnsi="仿宋" w:eastAsia="仿宋"/>
          <w:sz w:val="32"/>
          <w:szCs w:val="32"/>
        </w:rPr>
        <w:t>安徽省政府权力运行监督管理办法</w:t>
      </w:r>
      <w:r>
        <w:rPr>
          <w:rFonts w:hint="eastAsia" w:ascii="仿宋" w:hAnsi="仿宋" w:eastAsia="仿宋" w:cs="仿宋_GB2312"/>
          <w:sz w:val="32"/>
          <w:szCs w:val="32"/>
        </w:rPr>
        <w:t>》，结合工作实际，制定本监管细则。</w:t>
      </w:r>
    </w:p>
    <w:p w14:paraId="11333DF4">
      <w:pPr>
        <w:spacing w:line="560" w:lineRule="exact"/>
        <w:ind w:firstLine="640" w:firstLineChars="200"/>
        <w:rPr>
          <w:rFonts w:ascii="仿宋" w:hAnsi="仿宋" w:eastAsia="仿宋" w:cs="仿宋_GB2312"/>
          <w:sz w:val="32"/>
          <w:szCs w:val="32"/>
        </w:rPr>
      </w:pPr>
      <w:r>
        <w:rPr>
          <w:rFonts w:hint="eastAsia" w:ascii="仿宋" w:hAnsi="仿宋" w:eastAsia="仿宋" w:cs="仿宋_GB2312"/>
          <w:color w:val="000000"/>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sz w:val="32"/>
          <w:szCs w:val="32"/>
        </w:rPr>
        <w:t>第</w:t>
      </w:r>
      <w:r>
        <w:rPr>
          <w:rFonts w:hint="eastAsia" w:ascii="仿宋" w:hAnsi="仿宋" w:eastAsia="仿宋" w:cs="仿宋_GB2312"/>
          <w:sz w:val="32"/>
          <w:szCs w:val="32"/>
          <w:lang w:val="en-US" w:eastAsia="zh-CN"/>
        </w:rPr>
        <w:t>22</w:t>
      </w:r>
      <w:bookmarkStart w:id="0" w:name="_GoBack"/>
      <w:bookmarkEnd w:id="0"/>
      <w:r>
        <w:rPr>
          <w:rFonts w:hint="eastAsia" w:ascii="仿宋" w:hAnsi="仿宋" w:eastAsia="仿宋" w:cs="仿宋_GB2312"/>
          <w:sz w:val="32"/>
          <w:szCs w:val="32"/>
        </w:rPr>
        <w:t>项，权利类型：其他权力，项目名称：业主委员会备案。</w:t>
      </w:r>
    </w:p>
    <w:p w14:paraId="12756F14">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一、监管任务</w:t>
      </w:r>
    </w:p>
    <w:p w14:paraId="40D8A18D">
      <w:pPr>
        <w:spacing w:line="560" w:lineRule="exact"/>
        <w:ind w:firstLine="640" w:firstLineChars="200"/>
        <w:rPr>
          <w:rFonts w:ascii="仿宋" w:hAnsi="仿宋" w:eastAsia="仿宋"/>
          <w:sz w:val="32"/>
          <w:szCs w:val="32"/>
          <w:lang w:val="zh-CN"/>
        </w:rPr>
      </w:pPr>
      <w:r>
        <w:rPr>
          <w:rFonts w:hint="eastAsia" w:ascii="仿宋" w:hAnsi="仿宋" w:eastAsia="仿宋" w:cs="仿宋_GB2312"/>
          <w:sz w:val="32"/>
          <w:szCs w:val="32"/>
        </w:rPr>
        <w:t>祁门县住房和城乡建设局为我县行政区域</w:t>
      </w:r>
      <w:r>
        <w:rPr>
          <w:rFonts w:hint="eastAsia" w:ascii="仿宋" w:hAnsi="仿宋" w:eastAsia="仿宋"/>
          <w:sz w:val="32"/>
          <w:szCs w:val="32"/>
        </w:rPr>
        <w:t>业主委员会备案</w:t>
      </w:r>
      <w:r>
        <w:rPr>
          <w:rFonts w:hint="eastAsia" w:ascii="仿宋" w:hAnsi="仿宋" w:eastAsia="仿宋" w:cs="仿宋_GB2312"/>
          <w:sz w:val="32"/>
          <w:szCs w:val="32"/>
        </w:rPr>
        <w:t>审核管理机关，具体负责县域内业主委员会备案审核工作。</w:t>
      </w:r>
    </w:p>
    <w:p w14:paraId="5C508AC3">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二、监管措施</w:t>
      </w:r>
    </w:p>
    <w:p w14:paraId="0FEA7EB5">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（一）建立监管档案</w:t>
      </w:r>
    </w:p>
    <w:p w14:paraId="15CDAB97">
      <w:pPr>
        <w:spacing w:line="560" w:lineRule="exact"/>
        <w:ind w:firstLine="640" w:firstLineChars="200"/>
        <w:jc w:val="left"/>
        <w:rPr>
          <w:rFonts w:ascii="仿宋" w:hAnsi="仿宋" w:eastAsia="仿宋"/>
          <w:sz w:val="32"/>
          <w:szCs w:val="32"/>
          <w:lang w:val="zh-CN"/>
        </w:rPr>
      </w:pPr>
      <w:r>
        <w:rPr>
          <w:rFonts w:hint="eastAsia" w:ascii="仿宋" w:hAnsi="仿宋" w:eastAsia="仿宋" w:cs="仿宋_GB2312"/>
          <w:sz w:val="32"/>
          <w:szCs w:val="32"/>
        </w:rPr>
        <w:t>祁门县住房和城乡建设局</w:t>
      </w:r>
      <w:r>
        <w:rPr>
          <w:rFonts w:hint="eastAsia" w:ascii="仿宋" w:hAnsi="仿宋" w:eastAsia="仿宋" w:cs="黑体"/>
          <w:sz w:val="32"/>
          <w:szCs w:val="32"/>
        </w:rPr>
        <w:t>建立</w:t>
      </w:r>
      <w:r>
        <w:rPr>
          <w:rFonts w:hint="eastAsia" w:ascii="仿宋" w:hAnsi="仿宋" w:eastAsia="仿宋" w:cs="仿宋_GB2312"/>
          <w:sz w:val="32"/>
          <w:szCs w:val="32"/>
        </w:rPr>
        <w:t>业主委员会</w:t>
      </w:r>
      <w:r>
        <w:rPr>
          <w:rFonts w:hint="eastAsia" w:ascii="仿宋" w:hAnsi="仿宋" w:eastAsia="仿宋"/>
          <w:sz w:val="32"/>
          <w:szCs w:val="32"/>
        </w:rPr>
        <w:t>管理</w:t>
      </w:r>
      <w:r>
        <w:rPr>
          <w:rFonts w:hint="eastAsia" w:ascii="仿宋" w:hAnsi="仿宋" w:eastAsia="仿宋"/>
          <w:sz w:val="32"/>
          <w:szCs w:val="32"/>
          <w:lang w:val="zh-CN"/>
        </w:rPr>
        <w:t>监管档案，定期开展档案审查。</w:t>
      </w:r>
    </w:p>
    <w:p w14:paraId="7D083DD9">
      <w:pPr>
        <w:numPr>
          <w:ilvl w:val="0"/>
          <w:numId w:val="1"/>
        </w:num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流程监管</w:t>
      </w:r>
    </w:p>
    <w:p w14:paraId="65A7B07E">
      <w:pPr>
        <w:spacing w:line="560" w:lineRule="exact"/>
        <w:rPr>
          <w:rFonts w:ascii="仿宋" w:hAnsi="仿宋" w:eastAsia="仿宋" w:cs="黑体"/>
          <w:sz w:val="32"/>
          <w:szCs w:val="32"/>
        </w:rPr>
      </w:pPr>
      <w:r>
        <w:rPr>
          <w:rFonts w:hint="eastAsia" w:ascii="仿宋" w:hAnsi="仿宋" w:eastAsia="仿宋" w:cs="仿宋_GB2312"/>
          <w:sz w:val="32"/>
          <w:szCs w:val="32"/>
        </w:rPr>
        <w:t xml:space="preserve">    1.</w:t>
      </w:r>
      <w:r>
        <w:rPr>
          <w:rFonts w:hint="eastAsia" w:ascii="仿宋" w:hAnsi="仿宋" w:eastAsia="仿宋"/>
          <w:sz w:val="32"/>
          <w:szCs w:val="32"/>
        </w:rPr>
        <w:t>符合受理条件的，依法受理；不符合受理条件的，告知理由</w:t>
      </w:r>
      <w:r>
        <w:rPr>
          <w:rFonts w:hint="eastAsia" w:ascii="仿宋" w:hAnsi="仿宋" w:eastAsia="仿宋" w:cs="黑体"/>
          <w:sz w:val="32"/>
          <w:szCs w:val="32"/>
        </w:rPr>
        <w:t>；</w:t>
      </w:r>
      <w:r>
        <w:rPr>
          <w:rFonts w:hint="eastAsia" w:ascii="仿宋" w:hAnsi="仿宋" w:eastAsia="仿宋"/>
          <w:sz w:val="32"/>
          <w:szCs w:val="32"/>
        </w:rPr>
        <w:t>可要补正材料的，一次性告知</w:t>
      </w:r>
    </w:p>
    <w:p w14:paraId="1003AA69">
      <w:pPr>
        <w:spacing w:line="560" w:lineRule="exact"/>
        <w:rPr>
          <w:rFonts w:ascii="仿宋" w:hAnsi="仿宋" w:eastAsia="仿宋" w:cs="仿宋_GB2312"/>
          <w:sz w:val="32"/>
          <w:szCs w:val="32"/>
        </w:rPr>
      </w:pPr>
      <w:r>
        <w:rPr>
          <w:rFonts w:hint="eastAsia" w:ascii="仿宋" w:hAnsi="仿宋" w:eastAsia="仿宋" w:cs="仿宋_GB2312"/>
          <w:sz w:val="32"/>
          <w:szCs w:val="32"/>
        </w:rPr>
        <w:t xml:space="preserve">    2.材料审查，符合规定的予以备案, 不予备案的，应当告知理由。</w:t>
      </w:r>
    </w:p>
    <w:p w14:paraId="12221F81">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（三）对行政权力行使人的监管</w:t>
      </w:r>
    </w:p>
    <w:p w14:paraId="18EC2B1F">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制定规范的权力运行流程图、审批材料规范，所有权力行使必须严格依照规定执行，局办公室全程参与监督，发现违规行为，及时依法予以纠正查处。</w:t>
      </w:r>
    </w:p>
    <w:p w14:paraId="52C79944">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三、责任追究</w:t>
      </w:r>
    </w:p>
    <w:p w14:paraId="6E736869">
      <w:pPr>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因不履行或不正确履行行政职责，有下列情形的，行政机关及相关工作人员应承担相应责任：</w:t>
      </w:r>
    </w:p>
    <w:p w14:paraId="7D90FD9A">
      <w:pPr>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（一）对符合业主委员会备案条件的申请事项不予受理、不予备案或者不在法定期限内做出予以备案决定的。</w:t>
      </w:r>
    </w:p>
    <w:p w14:paraId="673E643F">
      <w:pPr>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（二）对不符合业主委员会备案条件的申请事项予以受理、予以备案的。</w:t>
      </w:r>
    </w:p>
    <w:p w14:paraId="5395AFD8">
      <w:pPr>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（三）未按相关备案管理规定严格审查，导致公民利益受到重大影响的。</w:t>
      </w:r>
    </w:p>
    <w:p w14:paraId="5BCBCEA6">
      <w:pPr>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（四）擅自增设、变更备案审核程序、条件的；因监管不力导致申报资料损毁、丢失或者被涂改、替换的；在备案工作中玩忽职守、滥用职权、收取贿赂的；</w:t>
      </w:r>
    </w:p>
    <w:p w14:paraId="2A57B6F6">
      <w:pPr>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（五）其他违反法律法规规章文件规定的行为。</w:t>
      </w:r>
    </w:p>
    <w:p w14:paraId="78131686">
      <w:pPr>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四、保障措施</w:t>
      </w:r>
    </w:p>
    <w:p w14:paraId="1341B6B5">
      <w:pPr>
        <w:spacing w:line="560" w:lineRule="exact"/>
        <w:ind w:firstLine="640" w:firstLineChars="200"/>
        <w:rPr>
          <w:rFonts w:ascii="仿宋" w:hAnsi="仿宋" w:eastAsia="仿宋" w:cs="黑体"/>
          <w:sz w:val="32"/>
          <w:szCs w:val="32"/>
        </w:rPr>
      </w:pPr>
      <w:r>
        <w:rPr>
          <w:rFonts w:hint="eastAsia" w:ascii="仿宋" w:hAnsi="仿宋" w:eastAsia="仿宋" w:cs="仿宋"/>
          <w:sz w:val="32"/>
          <w:szCs w:val="32"/>
        </w:rPr>
        <w:t>严格按照简政放权、放管结合、转变职能的要求，强化组织领导，完善监管办法，落实监管责任，畅通举报渠道，严肃查处问题，确保业主委员会备案</w:t>
      </w:r>
      <w:r>
        <w:rPr>
          <w:rFonts w:hint="eastAsia" w:ascii="仿宋" w:hAnsi="仿宋" w:eastAsia="仿宋"/>
          <w:sz w:val="32"/>
          <w:szCs w:val="32"/>
          <w:lang w:val="zh-CN"/>
        </w:rPr>
        <w:t>的</w:t>
      </w:r>
      <w:r>
        <w:rPr>
          <w:rFonts w:hint="eastAsia" w:ascii="仿宋" w:hAnsi="仿宋" w:eastAsia="仿宋" w:cs="仿宋"/>
          <w:sz w:val="32"/>
          <w:szCs w:val="32"/>
        </w:rPr>
        <w:t>监管工作有序推进。</w:t>
      </w:r>
    </w:p>
    <w:p w14:paraId="33B0DECA">
      <w:pPr>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五、主要依据</w:t>
      </w:r>
    </w:p>
    <w:p w14:paraId="695AF7FC">
      <w:pPr>
        <w:spacing w:line="560" w:lineRule="exact"/>
        <w:ind w:firstLine="640" w:firstLineChars="200"/>
        <w:rPr>
          <w:rFonts w:hint="eastAsia" w:ascii="仿宋" w:hAnsi="仿宋" w:eastAsia="仿宋" w:cs="黑体"/>
          <w:sz w:val="32"/>
          <w:szCs w:val="32"/>
          <w:lang w:eastAsia="zh-CN"/>
        </w:rPr>
      </w:pPr>
      <w:r>
        <w:rPr>
          <w:rFonts w:hint="eastAsia" w:ascii="仿宋" w:hAnsi="仿宋" w:eastAsia="仿宋" w:cs="黑体"/>
          <w:sz w:val="32"/>
          <w:szCs w:val="32"/>
        </w:rPr>
        <w:t>《物业管理条例》（2007年国务院令第504号）第五条</w:t>
      </w:r>
      <w:r>
        <w:rPr>
          <w:rFonts w:hint="eastAsia" w:ascii="仿宋" w:hAnsi="仿宋" w:eastAsia="仿宋" w:cs="黑体"/>
          <w:sz w:val="32"/>
          <w:szCs w:val="32"/>
          <w:lang w:eastAsia="zh-CN"/>
        </w:rPr>
        <w:t>、第十六条</w:t>
      </w:r>
    </w:p>
    <w:p w14:paraId="4F5170B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F11412"/>
    <w:multiLevelType w:val="singleLevel"/>
    <w:tmpl w:val="56F11412"/>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44F60CBD"/>
    <w:rsid w:val="44F60CBD"/>
    <w:rsid w:val="7DB70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2024-01-18T16:14:00Z</dcterms:created>
  <dc:creator>沉默的小布芬</dc:creator>
  <cp:lastModifiedBy>QM-536</cp:lastModifiedBy>
  <dcterms:modified xsi:type="dcterms:W3CDTF">2026-02-10T15:40:13Z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3EE7F9D3D12E8134DDE08A69260BF1AB_43</vt:lpwstr>
  </property>
</Properties>
</file>