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8D8956">
      <w:pPr>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15.</w:t>
      </w:r>
      <w:r>
        <w:rPr>
          <w:rFonts w:hint="eastAsia" w:ascii="方正小标宋简体" w:hAnsi="方正小标宋简体" w:eastAsia="方正小标宋简体" w:cs="方正小标宋简体"/>
          <w:sz w:val="44"/>
          <w:szCs w:val="44"/>
        </w:rPr>
        <w:t>城市基础设施配套费征收事中事后</w:t>
      </w:r>
    </w:p>
    <w:p w14:paraId="2DA848DD">
      <w:pPr>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监管细则</w:t>
      </w:r>
    </w:p>
    <w:p w14:paraId="52E4B91E">
      <w:pPr>
        <w:keepNext w:val="0"/>
        <w:keepLines w:val="0"/>
        <w:pageBreakBefore w:val="0"/>
        <w:widowControl w:val="0"/>
        <w:kinsoku/>
        <w:wordWrap/>
        <w:overflowPunct/>
        <w:topLinePunct w:val="0"/>
        <w:bidi w:val="0"/>
        <w:snapToGrid/>
        <w:spacing w:line="560" w:lineRule="exact"/>
        <w:ind w:firstLine="880" w:firstLineChars="200"/>
        <w:jc w:val="center"/>
        <w:textAlignment w:val="auto"/>
        <w:rPr>
          <w:rFonts w:hint="eastAsia" w:ascii="方正小标宋简体" w:hAnsi="方正小标宋简体" w:eastAsia="方正小标宋简体" w:cs="方正小标宋简体"/>
          <w:sz w:val="44"/>
          <w:szCs w:val="44"/>
        </w:rPr>
      </w:pPr>
    </w:p>
    <w:p w14:paraId="5774A60E">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rPr>
      </w:pPr>
      <w:r>
        <w:rPr>
          <w:rFonts w:hint="eastAsia" w:ascii="仿宋_GB2312"/>
        </w:rPr>
        <w:t>为了深入推进简政放权、放管结合、优化服务、强化政府权力运行监管，加强城市基础设施配套费征收事中事后监管，根据相关法律法规和《安徽省政府权力运行监督管理办法》，结合城市基础设施配套费征收工作实际，制定本监管细则。</w:t>
      </w:r>
    </w:p>
    <w:p w14:paraId="118BC841">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rPr>
      </w:pPr>
      <w:r>
        <w:rPr>
          <w:rFonts w:hint="eastAsia" w:ascii="仿宋_GB231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祁门县人民政府关于公布祁门县行政许可事项清单和县级权责清单县级公共服务清单县级行政权力中介服务清单（2025年版）的通知</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_GB2312"/>
        </w:rPr>
        <w:t>第</w:t>
      </w:r>
      <w:r>
        <w:rPr>
          <w:rFonts w:hint="eastAsia" w:ascii="仿宋_GB2312"/>
          <w:lang w:val="en-US" w:eastAsia="zh-CN"/>
        </w:rPr>
        <w:t>15</w:t>
      </w:r>
      <w:r>
        <w:rPr>
          <w:rFonts w:hint="eastAsia" w:ascii="仿宋_GB2312"/>
        </w:rPr>
        <w:t>项，权力类型：行政征收，项目名称：城市基础设施配套费征收。</w:t>
      </w:r>
    </w:p>
    <w:p w14:paraId="450E89EF">
      <w:pPr>
        <w:pStyle w:val="4"/>
        <w:keepNext w:val="0"/>
        <w:keepLines w:val="0"/>
        <w:pageBreakBefore w:val="0"/>
        <w:widowControl w:val="0"/>
        <w:numPr>
          <w:ilvl w:val="0"/>
          <w:numId w:val="0"/>
        </w:numPr>
        <w:kinsoku/>
        <w:wordWrap/>
        <w:overflowPunct/>
        <w:topLinePunct w:val="0"/>
        <w:bidi w:val="0"/>
        <w:snapToGrid/>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lang w:eastAsia="zh-CN"/>
        </w:rPr>
        <w:t>一、</w:t>
      </w:r>
      <w:r>
        <w:rPr>
          <w:rFonts w:hint="eastAsia" w:ascii="黑体" w:hAnsi="黑体" w:eastAsia="黑体"/>
          <w:sz w:val="32"/>
          <w:szCs w:val="32"/>
        </w:rPr>
        <w:t>基本原则</w:t>
      </w:r>
      <w:bookmarkStart w:id="0" w:name="_GoBack"/>
      <w:bookmarkEnd w:id="0"/>
    </w:p>
    <w:p w14:paraId="6DF7384A">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rPr>
      </w:pPr>
      <w:r>
        <w:rPr>
          <w:rFonts w:hint="eastAsia" w:ascii="仿宋_GB2312"/>
        </w:rPr>
        <w:t>(一）坚持“法无授权不可为、法定职权必须为”的原则。必须在法律规定的框架下开展，法律法规规定属于政府部门应当监管的事项和可采取的监管措施，必须严格依照法律法规的规定予以监管任务、监管措施。</w:t>
      </w:r>
    </w:p>
    <w:p w14:paraId="6732DA06">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rPr>
      </w:pPr>
      <w:r>
        <w:rPr>
          <w:rFonts w:hint="eastAsia" w:ascii="仿宋_GB2312"/>
        </w:rPr>
        <w:t>（二）坚持“全程监管、全程服务”的原则。突出自我监管的重要性，强化行政机关的自我约束。在监管对象中重点突出对行政权力行使者的自我监管，强化服务意识，提高依法行政水平，进一步规范行政机关工作人员在行使权力过程中严格依法履职。</w:t>
      </w:r>
    </w:p>
    <w:p w14:paraId="3D7E616C">
      <w:pPr>
        <w:pStyle w:val="4"/>
        <w:keepNext w:val="0"/>
        <w:keepLines w:val="0"/>
        <w:pageBreakBefore w:val="0"/>
        <w:widowControl w:val="0"/>
        <w:kinsoku/>
        <w:wordWrap/>
        <w:overflowPunct/>
        <w:topLinePunct w:val="0"/>
        <w:bidi w:val="0"/>
        <w:snapToGrid/>
        <w:spacing w:line="560" w:lineRule="exact"/>
        <w:textAlignment w:val="auto"/>
        <w:rPr>
          <w:rFonts w:ascii="黑体" w:hAnsi="黑体" w:eastAsia="黑体"/>
          <w:sz w:val="32"/>
          <w:szCs w:val="32"/>
        </w:rPr>
      </w:pPr>
      <w:r>
        <w:rPr>
          <w:rFonts w:hint="eastAsia" w:ascii="黑体" w:hAnsi="黑体" w:eastAsia="黑体"/>
          <w:sz w:val="32"/>
          <w:szCs w:val="32"/>
        </w:rPr>
        <w:t>二、事中监管</w:t>
      </w:r>
    </w:p>
    <w:p w14:paraId="07C0DA1B">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 xml:space="preserve">（一）核定建筑面积。申报单位及个人，其建筑面积以第三方出具测绘报告量值为准。 </w:t>
      </w:r>
    </w:p>
    <w:p w14:paraId="1B062040">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二）确定申报单位及个人应当缴纳的基础设施配套费额。根据核定的建筑面积，按照《安徽省人民政府办公厅转发省物价局等部门关于进一步规范城市基础设施配套费征收使用管理意见的通知》规定，计算确定单位或个人应缴纳的城市基础设施配套费收费数额。</w:t>
      </w:r>
    </w:p>
    <w:p w14:paraId="06DEA4D8">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（三）城市基础设施配套费的征收入库。由县住建局行政审批股开具票价，缴纳单位及个人自行缴纳进财政专户。</w:t>
      </w:r>
    </w:p>
    <w:p w14:paraId="3ED9AC43">
      <w:pPr>
        <w:pStyle w:val="4"/>
        <w:keepNext w:val="0"/>
        <w:keepLines w:val="0"/>
        <w:pageBreakBefore w:val="0"/>
        <w:widowControl w:val="0"/>
        <w:kinsoku/>
        <w:wordWrap/>
        <w:overflowPunct/>
        <w:topLinePunct w:val="0"/>
        <w:bidi w:val="0"/>
        <w:snapToGrid/>
        <w:spacing w:line="560" w:lineRule="exact"/>
        <w:textAlignment w:val="auto"/>
        <w:rPr>
          <w:rFonts w:hint="eastAsia" w:ascii="黑体" w:hAnsi="黑体" w:eastAsia="黑体"/>
          <w:sz w:val="32"/>
          <w:szCs w:val="32"/>
        </w:rPr>
      </w:pPr>
      <w:r>
        <w:rPr>
          <w:rFonts w:hint="eastAsia" w:ascii="黑体" w:hAnsi="黑体" w:eastAsia="黑体"/>
          <w:sz w:val="32"/>
          <w:szCs w:val="32"/>
        </w:rPr>
        <w:t>三、事后监督</w:t>
      </w:r>
    </w:p>
    <w:p w14:paraId="0F912A46">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个人或组织发现申请人（单位）在城市基础设施配套费征收过程中有违法行为的，有权向祁门县住建局（举报地址：祁门县住建局，举报电话：</w:t>
      </w:r>
      <w:r>
        <w:rPr>
          <w:rFonts w:hint="eastAsia" w:ascii="仿宋" w:hAnsi="仿宋" w:eastAsia="仿宋"/>
          <w:sz w:val="32"/>
          <w:szCs w:val="32"/>
        </w:rPr>
        <w:t>0559-</w:t>
      </w:r>
      <w:r>
        <w:rPr>
          <w:rFonts w:hint="eastAsia" w:ascii="仿宋" w:hAnsi="仿宋" w:eastAsia="仿宋"/>
          <w:sz w:val="32"/>
          <w:szCs w:val="32"/>
          <w:lang w:val="en-US" w:eastAsia="zh-CN"/>
        </w:rPr>
        <w:t>4512045</w:t>
      </w:r>
      <w:r>
        <w:rPr>
          <w:rFonts w:hint="eastAsia" w:ascii="仿宋" w:hAnsi="仿宋" w:eastAsia="仿宋" w:cs="仿宋_GB2312"/>
          <w:kern w:val="0"/>
          <w:sz w:val="32"/>
          <w:szCs w:val="32"/>
          <w:lang w:val="zh-CN"/>
        </w:rPr>
        <w:t>）。属于职权范围的，祁门县住建局应当及时核实、处理；不属于职权范围的，应当移交相关部门，并通知投诉、举报人；依法为投诉、举报人保密。</w:t>
      </w:r>
    </w:p>
    <w:p w14:paraId="7CE57ECB">
      <w:pPr>
        <w:pStyle w:val="4"/>
        <w:keepNext w:val="0"/>
        <w:keepLines w:val="0"/>
        <w:pageBreakBefore w:val="0"/>
        <w:widowControl w:val="0"/>
        <w:kinsoku/>
        <w:wordWrap/>
        <w:overflowPunct/>
        <w:topLinePunct w:val="0"/>
        <w:bidi w:val="0"/>
        <w:snapToGrid/>
        <w:spacing w:line="560" w:lineRule="exact"/>
        <w:textAlignment w:val="auto"/>
        <w:rPr>
          <w:rFonts w:hint="eastAsia" w:ascii="黑体" w:hAnsi="黑体" w:eastAsia="黑体"/>
          <w:sz w:val="32"/>
          <w:szCs w:val="32"/>
        </w:rPr>
      </w:pPr>
      <w:r>
        <w:rPr>
          <w:rFonts w:hint="eastAsia" w:ascii="黑体" w:hAnsi="黑体" w:eastAsia="黑体"/>
          <w:sz w:val="32"/>
          <w:szCs w:val="32"/>
        </w:rPr>
        <w:t>四、责任追究</w:t>
      </w:r>
    </w:p>
    <w:p w14:paraId="55D18BB7">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1.县住建局行政审批股对城市基础设施配套费是否严格按照规定的范围、标准和时限要求征收进行监管，确保城市基础设施配套费征缴到位。</w:t>
      </w:r>
    </w:p>
    <w:p w14:paraId="5C67DC5E">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2.城市基础设施配套费有关部门的工作人员违反规定，在城市基础设施配套费征收和使用管理工作中徇私舞弊、玩忽职守、滥用职权的，依法给予处分；涉嫌犯罪的，依法移送司法机关。</w:t>
      </w:r>
    </w:p>
    <w:p w14:paraId="3C840437">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3.单位和个人违反本办法规定，有下列情形之一的，依照《财政违法行为处罚处分条例》和《违反行政事业性收费和罚没收入收支两条线管理规定行政处分暂行规定》等国家有关规定追究法律责任；涉犯罪的，依法移送司法机关处理：</w:t>
      </w:r>
    </w:p>
    <w:p w14:paraId="7F5A94A7">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（一）擅自减免城市基础设施配套费或者城市基础设施配套费征收范围、对象和标准的；</w:t>
      </w:r>
    </w:p>
    <w:p w14:paraId="1FBEE44A">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（二）隐瞒、坐支应当上缴的城市基础设施配套费的；</w:t>
      </w:r>
    </w:p>
    <w:p w14:paraId="2CB736D9">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（三）滞留、截留、挪用应当上缴的城市基础设施配套费的；</w:t>
      </w:r>
    </w:p>
    <w:p w14:paraId="581C46CB">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（四）违反规定扩大城市基础设施配套费开支范围、提高开支标准的；</w:t>
      </w:r>
    </w:p>
    <w:p w14:paraId="0B20CA9E">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（五）其他违反国家财政收入管理规定的行为。</w:t>
      </w:r>
    </w:p>
    <w:p w14:paraId="0894785E">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ascii="仿宋" w:hAnsi="仿宋" w:eastAsia="仿宋" w:cs="仿宋_GB2312"/>
          <w:kern w:val="0"/>
          <w:sz w:val="32"/>
          <w:szCs w:val="32"/>
          <w:lang w:val="zh-CN"/>
        </w:rPr>
      </w:pPr>
      <w:r>
        <w:rPr>
          <w:rFonts w:hint="eastAsia" w:ascii="仿宋" w:hAnsi="仿宋" w:eastAsia="仿宋" w:cs="仿宋_GB2312"/>
          <w:kern w:val="0"/>
          <w:sz w:val="32"/>
          <w:szCs w:val="32"/>
          <w:lang w:val="en-US" w:eastAsia="zh-CN"/>
        </w:rPr>
        <w:t>4.</w:t>
      </w:r>
      <w:r>
        <w:rPr>
          <w:rFonts w:hint="eastAsia" w:ascii="仿宋" w:hAnsi="仿宋" w:eastAsia="仿宋" w:cs="仿宋_GB2312"/>
          <w:kern w:val="0"/>
          <w:sz w:val="32"/>
          <w:szCs w:val="32"/>
          <w:lang w:val="zh-CN"/>
        </w:rPr>
        <w:t>举报途径。凡发现单位或个人有上述违法行为的，可向祁门县住房和城乡建设局进行电话举报或来信举报。举报电话：</w:t>
      </w:r>
      <w:r>
        <w:rPr>
          <w:rFonts w:hint="eastAsia" w:ascii="仿宋" w:hAnsi="仿宋" w:eastAsia="仿宋"/>
          <w:sz w:val="32"/>
          <w:szCs w:val="32"/>
        </w:rPr>
        <w:t>0559-</w:t>
      </w:r>
      <w:r>
        <w:rPr>
          <w:rFonts w:hint="eastAsia" w:ascii="仿宋" w:hAnsi="仿宋" w:eastAsia="仿宋"/>
          <w:sz w:val="32"/>
          <w:szCs w:val="32"/>
          <w:lang w:val="en-US" w:eastAsia="zh-CN"/>
        </w:rPr>
        <w:t>4512045</w:t>
      </w:r>
      <w:r>
        <w:rPr>
          <w:rFonts w:hint="eastAsia" w:ascii="仿宋" w:hAnsi="仿宋" w:eastAsia="仿宋" w:cs="仿宋_GB2312"/>
          <w:kern w:val="0"/>
          <w:sz w:val="32"/>
          <w:szCs w:val="32"/>
          <w:lang w:val="zh-CN"/>
        </w:rPr>
        <w:t>。来信地址：祁门县住建局。</w:t>
      </w:r>
    </w:p>
    <w:p w14:paraId="3CDAC875">
      <w:pPr>
        <w:pStyle w:val="4"/>
        <w:keepNext w:val="0"/>
        <w:keepLines w:val="0"/>
        <w:pageBreakBefore w:val="0"/>
        <w:widowControl w:val="0"/>
        <w:kinsoku/>
        <w:wordWrap/>
        <w:overflowPunct/>
        <w:topLinePunct w:val="0"/>
        <w:bidi w:val="0"/>
        <w:snapToGrid/>
        <w:spacing w:line="560" w:lineRule="exact"/>
        <w:textAlignment w:val="auto"/>
        <w:rPr>
          <w:rFonts w:hint="eastAsia" w:ascii="黑体" w:hAnsi="黑体" w:eastAsia="黑体"/>
          <w:sz w:val="32"/>
          <w:szCs w:val="32"/>
        </w:rPr>
      </w:pPr>
      <w:r>
        <w:rPr>
          <w:rFonts w:hint="eastAsia" w:ascii="黑体" w:hAnsi="黑体" w:eastAsia="黑体"/>
          <w:sz w:val="32"/>
          <w:szCs w:val="32"/>
        </w:rPr>
        <w:t>五、保障措施</w:t>
      </w:r>
    </w:p>
    <w:p w14:paraId="1295A497">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县住建局要高度重视城市基础设施配套费征收监管工作，按照简政放权、放管结合、转变职能的要求，强化组织领导，完善监管办法，落实保障措施，畅通举报渠道，严肃查处问题，确保事中事后监管工作有序推进。</w:t>
      </w:r>
    </w:p>
    <w:p w14:paraId="4B66204D">
      <w:pPr>
        <w:pStyle w:val="4"/>
        <w:keepNext w:val="0"/>
        <w:keepLines w:val="0"/>
        <w:pageBreakBefore w:val="0"/>
        <w:widowControl w:val="0"/>
        <w:kinsoku/>
        <w:wordWrap/>
        <w:overflowPunct/>
        <w:topLinePunct w:val="0"/>
        <w:bidi w:val="0"/>
        <w:snapToGrid/>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六、主要依据</w:t>
      </w:r>
    </w:p>
    <w:p w14:paraId="6BCFDB13">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rPr>
      </w:pPr>
      <w:r>
        <w:rPr>
          <w:rFonts w:hint="eastAsia" w:ascii="仿宋_GB2312"/>
        </w:rPr>
        <w:t>《城市基础设施配套费征收使用管理条例》收费标准依据是根据《安徽省人民政府办公厅转发省物价局等部门关于进一步规范城市基础设施配套费征收使用管理意见的通知》（皖政办</w:t>
      </w:r>
      <w:r>
        <w:rPr>
          <w:rFonts w:hint="eastAsia" w:ascii="宋体" w:hAnsi="宋体" w:eastAsia="宋体"/>
        </w:rPr>
        <w:t>﹝</w:t>
      </w:r>
      <w:r>
        <w:rPr>
          <w:rFonts w:hint="eastAsia" w:ascii="仿宋_GB2312"/>
        </w:rPr>
        <w:t>2002</w:t>
      </w:r>
      <w:r>
        <w:rPr>
          <w:rFonts w:hint="eastAsia" w:ascii="宋体" w:hAnsi="宋体" w:eastAsia="宋体"/>
        </w:rPr>
        <w:t>﹞</w:t>
      </w:r>
      <w:r>
        <w:rPr>
          <w:rFonts w:hint="eastAsia" w:ascii="仿宋_GB2312"/>
        </w:rPr>
        <w:t>80号）10号。</w:t>
      </w:r>
    </w:p>
    <w:p w14:paraId="1CF7FACD">
      <w:pPr>
        <w:keepNext w:val="0"/>
        <w:keepLines w:val="0"/>
        <w:pageBreakBefore w:val="0"/>
        <w:widowControl w:val="0"/>
        <w:kinsoku/>
        <w:wordWrap/>
        <w:overflowPunct/>
        <w:topLinePunct w:val="0"/>
        <w:bidi w:val="0"/>
        <w:snapToGrid/>
        <w:spacing w:line="560" w:lineRule="exact"/>
        <w:ind w:firstLine="640" w:firstLineChars="200"/>
        <w:textAlignment w:val="auto"/>
      </w:pPr>
    </w:p>
    <w:p w14:paraId="41CB5782">
      <w:pPr>
        <w:keepNext w:val="0"/>
        <w:keepLines w:val="0"/>
        <w:pageBreakBefore w:val="0"/>
        <w:widowControl w:val="0"/>
        <w:kinsoku/>
        <w:wordWrap/>
        <w:overflowPunct/>
        <w:topLinePunct w:val="0"/>
        <w:bidi w:val="0"/>
        <w:snapToGrid/>
        <w:spacing w:line="560" w:lineRule="exact"/>
        <w:ind w:firstLine="640" w:firstLineChars="200"/>
        <w:textAlignment w:val="auto"/>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211A593E"/>
    <w:rsid w:val="211A593E"/>
    <w:rsid w:val="2D194F8D"/>
    <w:rsid w:val="421D3616"/>
    <w:rsid w:val="42666D6B"/>
    <w:rsid w:val="427F5BE5"/>
    <w:rsid w:val="5FCE4B97"/>
    <w:rsid w:val="64306D81"/>
    <w:rsid w:val="6DE00DA9"/>
    <w:rsid w:val="709C73B5"/>
    <w:rsid w:val="751115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customStyle="1" w:styleId="4">
    <w:name w:val="列出段落1"/>
    <w:basedOn w:val="1"/>
    <w:autoRedefine/>
    <w:qFormat/>
    <w:uiPriority w:val="0"/>
    <w:pPr>
      <w:ind w:firstLine="420" w:firstLineChars="200"/>
    </w:pPr>
    <w:rPr>
      <w:rFonts w:ascii="Calibri" w:hAnsi="Calibri" w:eastAsia="宋体"/>
      <w:sz w:val="21"/>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1410</Words>
  <Characters>1447</Characters>
  <Lines>0</Lines>
  <Paragraphs>0</Paragraphs>
  <TotalTime>0</TotalTime>
  <ScaleCrop>false</ScaleCrop>
  <LinksUpToDate>false</LinksUpToDate>
  <CharactersWithSpaces>1448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2024-01-18T03:13:00Z</dcterms:created>
  <dc:creator>沉默的小布芬</dc:creator>
  <cp:lastModifiedBy>沉默的小布芬</cp:lastModifiedBy>
  <dcterms:modified xsi:type="dcterms:W3CDTF">2026-02-10T08:03:21Z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98B51F8224EE40D185C807685EFE0731_11</vt:lpwstr>
  </property>
  <property fmtid="{D5CDD505-2E9C-101B-9397-08002B2CF9AE}" pid="4" name="KSOTemplateDocerSaveRecord">
    <vt:lpwstr>eyJoZGlkIjoiZDdkMTE2MDY1YjBhZTliODY2MjhhMzAyMjhkZGFjNjIiLCJ1c2VySWQiOiI5ODc1Mzc4MjcifQ==</vt:lpwstr>
  </property>
</Properties>
</file>