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E232D">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Theme="minorEastAsia" w:hAnsiTheme="minorEastAsia" w:eastAsiaTheme="minorEastAsia" w:cstheme="minorEastAsia"/>
          <w:b/>
          <w:bCs w:val="0"/>
          <w:color w:val="000000"/>
          <w:kern w:val="0"/>
          <w:sz w:val="44"/>
          <w:szCs w:val="44"/>
        </w:rPr>
      </w:pPr>
      <w:r>
        <w:rPr>
          <w:rFonts w:hint="eastAsia" w:asciiTheme="minorEastAsia" w:hAnsiTheme="minorEastAsia" w:eastAsiaTheme="minorEastAsia" w:cstheme="minorEastAsia"/>
          <w:b/>
          <w:bCs w:val="0"/>
          <w:color w:val="000000"/>
          <w:kern w:val="0"/>
          <w:sz w:val="44"/>
          <w:szCs w:val="44"/>
          <w:lang w:val="en-US" w:eastAsia="zh-CN"/>
        </w:rPr>
        <w:t>5.</w:t>
      </w:r>
      <w:r>
        <w:rPr>
          <w:rFonts w:hint="eastAsia" w:asciiTheme="minorEastAsia" w:hAnsiTheme="minorEastAsia" w:eastAsiaTheme="minorEastAsia" w:cstheme="minorEastAsia"/>
          <w:b/>
          <w:bCs w:val="0"/>
          <w:color w:val="000000"/>
          <w:kern w:val="0"/>
          <w:sz w:val="44"/>
          <w:szCs w:val="44"/>
        </w:rPr>
        <w:t>建筑起重机械使用登记事中</w:t>
      </w:r>
    </w:p>
    <w:p w14:paraId="33F3EE81">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Theme="minorEastAsia" w:hAnsiTheme="minorEastAsia" w:eastAsiaTheme="minorEastAsia" w:cstheme="minorEastAsia"/>
          <w:b/>
          <w:bCs w:val="0"/>
          <w:color w:val="000000"/>
          <w:kern w:val="0"/>
          <w:sz w:val="44"/>
          <w:szCs w:val="44"/>
        </w:rPr>
      </w:pPr>
      <w:r>
        <w:rPr>
          <w:rFonts w:hint="eastAsia" w:asciiTheme="minorEastAsia" w:hAnsiTheme="minorEastAsia" w:eastAsiaTheme="minorEastAsia" w:cstheme="minorEastAsia"/>
          <w:b/>
          <w:bCs w:val="0"/>
          <w:color w:val="000000"/>
          <w:kern w:val="0"/>
          <w:sz w:val="44"/>
          <w:szCs w:val="44"/>
        </w:rPr>
        <w:t>事后监管细则</w:t>
      </w:r>
    </w:p>
    <w:p w14:paraId="7D04A476">
      <w:pPr>
        <w:keepNext w:val="0"/>
        <w:keepLines w:val="0"/>
        <w:pageBreakBefore w:val="0"/>
        <w:kinsoku/>
        <w:wordWrap/>
        <w:overflowPunct/>
        <w:topLinePunct w:val="0"/>
        <w:autoSpaceDE/>
        <w:bidi w:val="0"/>
        <w:adjustRightInd/>
        <w:snapToGrid/>
        <w:spacing w:line="560" w:lineRule="exact"/>
        <w:jc w:val="center"/>
        <w:textAlignment w:val="auto"/>
        <w:outlineLvl w:val="9"/>
        <w:rPr>
          <w:rFonts w:ascii="仿宋_GB2312" w:hAnsi="仿宋_GB2312" w:eastAsia="仿宋_GB2312" w:cs="仿宋_GB2312"/>
          <w:color w:val="000000"/>
          <w:kern w:val="0"/>
          <w:sz w:val="44"/>
          <w:szCs w:val="44"/>
        </w:rPr>
      </w:pPr>
    </w:p>
    <w:p w14:paraId="0D8556D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为深入推进简政放权、放管结合、优化服务，加强辖区内建筑起重机械使用登记监管服务工作，规范行政行为，根据相关法律法规和《建筑起重机械安全监督管理规定》，制定本监管细则。</w:t>
      </w:r>
    </w:p>
    <w:p w14:paraId="5DD75A7A">
      <w:pPr>
        <w:spacing w:line="560" w:lineRule="exact"/>
        <w:ind w:firstLine="640" w:firstLineChars="200"/>
        <w:rPr>
          <w:rFonts w:hint="eastAsia" w:ascii="仿宋" w:hAnsi="仿宋" w:eastAsia="仿宋" w:cs="仿宋"/>
          <w:kern w:val="0"/>
          <w:sz w:val="32"/>
          <w:szCs w:val="32"/>
          <w:lang w:eastAsia="zh-CN"/>
        </w:rPr>
      </w:pPr>
      <w:r>
        <w:rPr>
          <w:rFonts w:hint="eastAsia" w:ascii="仿宋" w:hAnsi="仿宋" w:eastAsia="仿宋" w:cs="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
          <w:sz w:val="32"/>
          <w:szCs w:val="32"/>
        </w:rPr>
        <w:t>第</w:t>
      </w:r>
      <w:r>
        <w:rPr>
          <w:rFonts w:hint="eastAsia" w:ascii="仿宋" w:hAnsi="仿宋" w:eastAsia="仿宋" w:cs="仿宋"/>
          <w:sz w:val="32"/>
          <w:szCs w:val="32"/>
          <w:lang w:val="en-US" w:eastAsia="zh-CN"/>
        </w:rPr>
        <w:t>5</w:t>
      </w:r>
      <w:r>
        <w:rPr>
          <w:rFonts w:hint="eastAsia" w:ascii="仿宋" w:hAnsi="仿宋" w:eastAsia="仿宋" w:cs="仿宋"/>
          <w:sz w:val="32"/>
          <w:szCs w:val="32"/>
        </w:rPr>
        <w:t>项，权力类型：行政许可，项目名称：建筑起重机械使用登记</w:t>
      </w:r>
      <w:r>
        <w:rPr>
          <w:rFonts w:hint="eastAsia" w:ascii="仿宋" w:hAnsi="仿宋" w:eastAsia="仿宋" w:cs="仿宋"/>
          <w:sz w:val="32"/>
          <w:szCs w:val="32"/>
          <w:lang w:eastAsia="zh-CN"/>
        </w:rPr>
        <w:t>。</w:t>
      </w:r>
    </w:p>
    <w:p w14:paraId="6CB345BB">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一、基本原则</w:t>
      </w:r>
    </w:p>
    <w:p w14:paraId="7790101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409F230">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31ABF5A5">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14:paraId="10E310F3">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（一）监督检查对象</w:t>
      </w:r>
    </w:p>
    <w:p w14:paraId="3050525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涉及全县范围内建筑起重机械使用登记的单位和个人</w:t>
      </w:r>
    </w:p>
    <w:p w14:paraId="1D6D73A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（二）受理条件</w:t>
      </w:r>
    </w:p>
    <w:p w14:paraId="62AD73D2">
      <w:pPr>
        <w:spacing w:line="560" w:lineRule="exact"/>
        <w:ind w:firstLine="960" w:firstLineChars="300"/>
        <w:rPr>
          <w:rFonts w:ascii="仿宋" w:hAnsi="仿宋" w:eastAsia="仿宋"/>
          <w:sz w:val="32"/>
          <w:szCs w:val="32"/>
        </w:rPr>
      </w:pPr>
      <w:r>
        <w:rPr>
          <w:rFonts w:hint="eastAsia" w:ascii="仿宋" w:hAnsi="仿宋" w:eastAsia="仿宋"/>
          <w:sz w:val="32"/>
          <w:szCs w:val="32"/>
        </w:rPr>
        <w:t>1、自建筑起重机械安装验收合格之日起30日内；</w:t>
      </w:r>
    </w:p>
    <w:p w14:paraId="1EDA691E">
      <w:pPr>
        <w:spacing w:line="560" w:lineRule="exact"/>
        <w:rPr>
          <w:rFonts w:ascii="仿宋" w:hAnsi="仿宋" w:eastAsia="仿宋"/>
          <w:sz w:val="32"/>
          <w:szCs w:val="32"/>
        </w:rPr>
      </w:pPr>
      <w:r>
        <w:rPr>
          <w:rFonts w:hint="eastAsia" w:ascii="仿宋" w:hAnsi="仿宋" w:eastAsia="仿宋"/>
          <w:sz w:val="32"/>
          <w:szCs w:val="32"/>
        </w:rPr>
        <w:t xml:space="preserve">      2. 建筑起重机械检验检测报告。</w:t>
      </w:r>
    </w:p>
    <w:p w14:paraId="472A2183">
      <w:pPr>
        <w:spacing w:line="560" w:lineRule="exact"/>
        <w:ind w:firstLine="960" w:firstLineChars="300"/>
        <w:rPr>
          <w:rFonts w:ascii="仿宋" w:hAnsi="仿宋" w:eastAsia="仿宋"/>
          <w:sz w:val="32"/>
          <w:szCs w:val="32"/>
        </w:rPr>
      </w:pPr>
      <w:r>
        <w:rPr>
          <w:rFonts w:hint="eastAsia" w:ascii="仿宋" w:hAnsi="仿宋" w:eastAsia="仿宋"/>
          <w:sz w:val="32"/>
          <w:szCs w:val="32"/>
        </w:rPr>
        <w:t>3. 安装验收资料</w:t>
      </w:r>
    </w:p>
    <w:p w14:paraId="5A004DA6">
      <w:pPr>
        <w:spacing w:line="560" w:lineRule="exact"/>
        <w:ind w:firstLine="960" w:firstLineChars="300"/>
        <w:rPr>
          <w:rFonts w:ascii="仿宋" w:hAnsi="仿宋" w:eastAsia="仿宋"/>
          <w:sz w:val="32"/>
          <w:szCs w:val="32"/>
        </w:rPr>
      </w:pPr>
      <w:r>
        <w:rPr>
          <w:rFonts w:hint="eastAsia" w:ascii="仿宋" w:hAnsi="仿宋" w:eastAsia="仿宋"/>
          <w:sz w:val="32"/>
          <w:szCs w:val="32"/>
        </w:rPr>
        <w:t>4. 特种作业人员资格证书</w:t>
      </w:r>
    </w:p>
    <w:p w14:paraId="32B14639">
      <w:pPr>
        <w:spacing w:line="560" w:lineRule="exact"/>
        <w:ind w:firstLine="960" w:firstLineChars="300"/>
        <w:rPr>
          <w:rFonts w:ascii="仿宋" w:hAnsi="仿宋" w:eastAsia="仿宋"/>
          <w:sz w:val="32"/>
          <w:szCs w:val="32"/>
        </w:rPr>
      </w:pPr>
      <w:r>
        <w:rPr>
          <w:rFonts w:hint="eastAsia" w:ascii="仿宋" w:hAnsi="仿宋" w:eastAsia="仿宋"/>
          <w:sz w:val="32"/>
          <w:szCs w:val="32"/>
        </w:rPr>
        <w:t>5. 建筑起重机械生产安全事故应急救援预案</w:t>
      </w:r>
    </w:p>
    <w:p w14:paraId="2E1A01F7">
      <w:pPr>
        <w:spacing w:line="560" w:lineRule="exact"/>
        <w:ind w:firstLine="960" w:firstLineChars="300"/>
        <w:rPr>
          <w:rFonts w:ascii="仿宋" w:hAnsi="仿宋" w:eastAsia="仿宋"/>
          <w:sz w:val="32"/>
          <w:szCs w:val="32"/>
        </w:rPr>
      </w:pPr>
      <w:r>
        <w:rPr>
          <w:rFonts w:hint="eastAsia" w:ascii="仿宋" w:hAnsi="仿宋" w:eastAsia="仿宋"/>
          <w:sz w:val="32"/>
          <w:szCs w:val="32"/>
        </w:rPr>
        <w:t>6. 使用登记表</w:t>
      </w:r>
    </w:p>
    <w:p w14:paraId="25493420">
      <w:pPr>
        <w:spacing w:line="560" w:lineRule="exact"/>
        <w:ind w:firstLine="800" w:firstLineChars="250"/>
        <w:jc w:val="left"/>
        <w:rPr>
          <w:rFonts w:ascii="仿宋" w:hAnsi="仿宋" w:eastAsia="仿宋"/>
          <w:sz w:val="32"/>
          <w:szCs w:val="32"/>
        </w:rPr>
      </w:pPr>
      <w:r>
        <w:rPr>
          <w:rFonts w:ascii="仿宋" w:hAnsi="仿宋" w:eastAsia="仿宋"/>
          <w:sz w:val="32"/>
          <w:szCs w:val="32"/>
        </w:rPr>
        <w:t>(三)监督检查方式</w:t>
      </w:r>
    </w:p>
    <w:p w14:paraId="4540E103">
      <w:pPr>
        <w:spacing w:line="560" w:lineRule="exact"/>
        <w:ind w:firstLine="800" w:firstLineChars="250"/>
        <w:jc w:val="left"/>
        <w:rPr>
          <w:rFonts w:ascii="仿宋" w:hAnsi="仿宋" w:eastAsia="仿宋"/>
          <w:sz w:val="32"/>
          <w:szCs w:val="32"/>
        </w:rPr>
      </w:pPr>
      <w:r>
        <w:rPr>
          <w:rFonts w:ascii="仿宋" w:hAnsi="仿宋" w:eastAsia="仿宋"/>
          <w:sz w:val="32"/>
          <w:szCs w:val="32"/>
        </w:rPr>
        <w:t>由</w:t>
      </w:r>
      <w:r>
        <w:rPr>
          <w:rFonts w:hint="eastAsia" w:ascii="仿宋" w:hAnsi="仿宋" w:eastAsia="仿宋"/>
          <w:sz w:val="32"/>
          <w:szCs w:val="32"/>
        </w:rPr>
        <w:t>祁门</w:t>
      </w:r>
      <w:r>
        <w:rPr>
          <w:rFonts w:ascii="仿宋" w:hAnsi="仿宋" w:eastAsia="仿宋"/>
          <w:sz w:val="32"/>
          <w:szCs w:val="32"/>
        </w:rPr>
        <w:t>县住建局工作人员对各销售现场定期进行巡查。检查销售是否办理了《</w:t>
      </w:r>
      <w:r>
        <w:rPr>
          <w:rFonts w:hint="eastAsia" w:ascii="仿宋" w:hAnsi="仿宋" w:eastAsia="仿宋"/>
          <w:sz w:val="32"/>
          <w:szCs w:val="32"/>
        </w:rPr>
        <w:t>建筑起重机械使用登记</w:t>
      </w:r>
      <w:r>
        <w:rPr>
          <w:rFonts w:ascii="仿宋" w:hAnsi="仿宋" w:eastAsia="仿宋"/>
          <w:sz w:val="32"/>
          <w:szCs w:val="32"/>
        </w:rPr>
        <w:t>许可》及</w:t>
      </w:r>
      <w:r>
        <w:rPr>
          <w:rFonts w:hint="eastAsia" w:ascii="仿宋" w:hAnsi="仿宋" w:eastAsia="仿宋"/>
          <w:sz w:val="32"/>
          <w:szCs w:val="32"/>
        </w:rPr>
        <w:t>建筑起重机械使用登记</w:t>
      </w:r>
      <w:r>
        <w:rPr>
          <w:rFonts w:hint="eastAsia" w:ascii="仿宋" w:hAnsi="仿宋" w:eastAsia="仿宋" w:cs="黑体"/>
          <w:sz w:val="32"/>
          <w:szCs w:val="32"/>
        </w:rPr>
        <w:t>审批许可</w:t>
      </w:r>
      <w:r>
        <w:rPr>
          <w:rFonts w:ascii="仿宋" w:hAnsi="仿宋" w:eastAsia="仿宋"/>
          <w:sz w:val="32"/>
          <w:szCs w:val="32"/>
        </w:rPr>
        <w:t>后是否按规定进行销售，销售是否存在违法违规现象。</w:t>
      </w:r>
    </w:p>
    <w:p w14:paraId="1E7A0315">
      <w:pPr>
        <w:spacing w:line="560" w:lineRule="exact"/>
        <w:ind w:firstLine="640" w:firstLineChars="200"/>
        <w:rPr>
          <w:rFonts w:ascii="仿宋" w:hAnsi="仿宋" w:eastAsia="仿宋"/>
          <w:sz w:val="32"/>
          <w:szCs w:val="32"/>
        </w:rPr>
      </w:pPr>
      <w:r>
        <w:rPr>
          <w:rFonts w:hint="eastAsia" w:ascii="仿宋" w:hAnsi="仿宋" w:eastAsia="仿宋"/>
          <w:sz w:val="32"/>
          <w:szCs w:val="32"/>
        </w:rPr>
        <w:t>（四）是否依法组织报批。</w:t>
      </w:r>
    </w:p>
    <w:p w14:paraId="08350675">
      <w:pPr>
        <w:spacing w:line="560" w:lineRule="exact"/>
        <w:ind w:firstLine="640" w:firstLineChars="200"/>
        <w:rPr>
          <w:rFonts w:ascii="仿宋" w:hAnsi="仿宋" w:eastAsia="仿宋"/>
          <w:sz w:val="32"/>
          <w:szCs w:val="32"/>
        </w:rPr>
      </w:pPr>
      <w:r>
        <w:rPr>
          <w:rFonts w:hint="eastAsia" w:ascii="仿宋" w:hAnsi="仿宋" w:eastAsia="仿宋"/>
          <w:sz w:val="32"/>
          <w:szCs w:val="32"/>
        </w:rPr>
        <w:t>祁门县住房和城乡建设局负责对建设单位提交的申报材料进行审核，予以许可决定，并发许可。</w:t>
      </w:r>
    </w:p>
    <w:p w14:paraId="38E0785C">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14:paraId="01E62872">
      <w:pPr>
        <w:spacing w:line="560" w:lineRule="exact"/>
        <w:ind w:firstLine="640" w:firstLineChars="200"/>
        <w:rPr>
          <w:rFonts w:ascii="仿宋" w:hAnsi="仿宋" w:eastAsia="仿宋"/>
          <w:sz w:val="32"/>
          <w:szCs w:val="32"/>
        </w:rPr>
      </w:pPr>
      <w:r>
        <w:rPr>
          <w:rFonts w:hint="eastAsia" w:ascii="仿宋" w:hAnsi="仿宋" w:eastAsia="仿宋"/>
          <w:sz w:val="32"/>
          <w:szCs w:val="32"/>
        </w:rPr>
        <w:t>（一）个人或组织发现申请人（单位）在建筑业企业活动中有违法违规现象，有权向祁门县住建局举报（举报地址：祁门县住建局;举报电话：0559-</w:t>
      </w:r>
      <w:r>
        <w:rPr>
          <w:rFonts w:hint="eastAsia" w:ascii="仿宋" w:hAnsi="仿宋" w:eastAsia="仿宋"/>
          <w:sz w:val="32"/>
          <w:szCs w:val="32"/>
          <w:lang w:val="en-US" w:eastAsia="zh-CN"/>
        </w:rPr>
        <w:t>4512045</w:t>
      </w:r>
      <w:r>
        <w:rPr>
          <w:rFonts w:hint="eastAsia" w:ascii="仿宋" w:hAnsi="仿宋" w:eastAsia="仿宋"/>
          <w:sz w:val="32"/>
          <w:szCs w:val="32"/>
        </w:rPr>
        <w:t>），祁门县住建局将及时核实、处理，并将核实、处理结果书面告知举</w:t>
      </w:r>
      <w:bookmarkStart w:id="0" w:name="_GoBack"/>
      <w:bookmarkEnd w:id="0"/>
      <w:r>
        <w:rPr>
          <w:rFonts w:hint="eastAsia" w:ascii="仿宋" w:hAnsi="仿宋" w:eastAsia="仿宋"/>
          <w:sz w:val="32"/>
          <w:szCs w:val="32"/>
        </w:rPr>
        <w:t>报人。</w:t>
      </w:r>
    </w:p>
    <w:p w14:paraId="141F486F">
      <w:pPr>
        <w:spacing w:line="560" w:lineRule="exact"/>
        <w:ind w:firstLine="640" w:firstLineChars="200"/>
        <w:rPr>
          <w:rFonts w:ascii="仿宋" w:hAnsi="仿宋" w:eastAsia="仿宋"/>
          <w:sz w:val="32"/>
          <w:szCs w:val="32"/>
        </w:rPr>
      </w:pPr>
      <w:r>
        <w:rPr>
          <w:rFonts w:hint="eastAsia" w:ascii="仿宋" w:hAnsi="仿宋" w:eastAsia="仿宋"/>
          <w:sz w:val="32"/>
          <w:szCs w:val="32"/>
        </w:rPr>
        <w:t>（二）行政相对人和利害关系人对祁门县住房和城乡建设局在该许可工作中做出的具体行政决定不服的，可以自收到决定之日起60日内向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sz w:val="32"/>
          <w:szCs w:val="32"/>
        </w:rPr>
        <w:t>，也可以于6个月内依法向人民法院提起行政诉讼。行政复议或者行政诉讼期间，行政决定不停在执行。</w:t>
      </w:r>
    </w:p>
    <w:p w14:paraId="47026E5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四、责任追究</w:t>
      </w:r>
    </w:p>
    <w:p w14:paraId="424DA6F3">
      <w:pPr>
        <w:spacing w:line="560" w:lineRule="exact"/>
        <w:ind w:firstLine="640" w:firstLineChars="200"/>
        <w:rPr>
          <w:rFonts w:ascii="仿宋" w:hAnsi="仿宋" w:eastAsia="仿宋"/>
          <w:sz w:val="32"/>
          <w:szCs w:val="32"/>
        </w:rPr>
      </w:pPr>
      <w:r>
        <w:rPr>
          <w:rFonts w:hint="eastAsia" w:ascii="仿宋" w:hAnsi="仿宋" w:eastAsia="仿宋"/>
          <w:sz w:val="32"/>
          <w:szCs w:val="32"/>
        </w:rPr>
        <w:t>发证机关及其工作人员，违反本办法，有下列情形之一的，由</w:t>
      </w:r>
      <w:r>
        <w:rPr>
          <w:rFonts w:hint="eastAsia" w:ascii="仿宋" w:hAnsi="仿宋" w:eastAsia="仿宋"/>
          <w:sz w:val="32"/>
          <w:szCs w:val="32"/>
          <w:lang w:eastAsia="zh-CN"/>
        </w:rPr>
        <w:t>县住建局</w:t>
      </w:r>
      <w:r>
        <w:rPr>
          <w:rFonts w:hint="eastAsia" w:ascii="仿宋" w:hAnsi="仿宋" w:eastAsia="仿宋"/>
          <w:sz w:val="32"/>
          <w:szCs w:val="32"/>
        </w:rPr>
        <w:t>责令改正；情节严重的，对直接负责的主管人员和其他直接责任人员，依法给予行政处分（</w:t>
      </w:r>
      <w:r>
        <w:rPr>
          <w:rFonts w:hint="eastAsia" w:ascii="仿宋" w:hAnsi="仿宋" w:eastAsia="仿宋" w:cs="仿宋_GB2312"/>
          <w:sz w:val="32"/>
          <w:szCs w:val="32"/>
        </w:rPr>
        <w:t>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r>
        <w:rPr>
          <w:rFonts w:hint="eastAsia" w:ascii="仿宋" w:hAnsi="仿宋" w:eastAsia="仿宋"/>
          <w:sz w:val="32"/>
          <w:szCs w:val="32"/>
        </w:rPr>
        <w:t>。</w:t>
      </w:r>
    </w:p>
    <w:p w14:paraId="413B4DF7">
      <w:pPr>
        <w:spacing w:line="560" w:lineRule="exact"/>
        <w:ind w:firstLine="640" w:firstLineChars="200"/>
        <w:rPr>
          <w:rFonts w:ascii="仿宋" w:hAnsi="仿宋" w:eastAsia="仿宋"/>
          <w:sz w:val="32"/>
          <w:szCs w:val="32"/>
        </w:rPr>
      </w:pPr>
      <w:r>
        <w:rPr>
          <w:rFonts w:hint="eastAsia" w:ascii="仿宋" w:hAnsi="仿宋" w:eastAsia="仿宋"/>
          <w:sz w:val="32"/>
          <w:szCs w:val="32"/>
        </w:rPr>
        <w:t>（一）对不符合条件的申请人准予企业资质许可可的；</w:t>
      </w:r>
    </w:p>
    <w:p w14:paraId="4094BD84">
      <w:pPr>
        <w:spacing w:line="560" w:lineRule="exact"/>
        <w:ind w:firstLine="640" w:firstLineChars="200"/>
        <w:rPr>
          <w:rFonts w:ascii="仿宋" w:hAnsi="仿宋" w:eastAsia="仿宋"/>
          <w:sz w:val="32"/>
          <w:szCs w:val="32"/>
        </w:rPr>
      </w:pPr>
      <w:r>
        <w:rPr>
          <w:rFonts w:hint="eastAsia" w:ascii="仿宋" w:hAnsi="仿宋" w:eastAsia="仿宋"/>
          <w:sz w:val="32"/>
          <w:szCs w:val="32"/>
        </w:rPr>
        <w:t>（二）对符合条件的申请人不予企业资质核定或者未在法定期限内做出准予许可决定的；</w:t>
      </w:r>
    </w:p>
    <w:p w14:paraId="30B6E035">
      <w:pPr>
        <w:spacing w:line="560" w:lineRule="exact"/>
        <w:ind w:firstLine="640" w:firstLineChars="200"/>
        <w:rPr>
          <w:rFonts w:ascii="仿宋" w:hAnsi="仿宋" w:eastAsia="仿宋"/>
          <w:sz w:val="32"/>
          <w:szCs w:val="32"/>
        </w:rPr>
      </w:pPr>
      <w:r>
        <w:rPr>
          <w:rFonts w:hint="eastAsia" w:ascii="仿宋" w:hAnsi="仿宋" w:eastAsia="仿宋"/>
          <w:sz w:val="32"/>
          <w:szCs w:val="32"/>
        </w:rPr>
        <w:t>（三）对符合条件的申请不予受理的；</w:t>
      </w:r>
    </w:p>
    <w:p w14:paraId="37F9353A">
      <w:pPr>
        <w:spacing w:line="560" w:lineRule="exact"/>
        <w:ind w:firstLine="640" w:firstLineChars="200"/>
        <w:rPr>
          <w:rFonts w:ascii="仿宋" w:hAnsi="仿宋" w:eastAsia="仿宋"/>
          <w:sz w:val="32"/>
          <w:szCs w:val="32"/>
        </w:rPr>
      </w:pPr>
      <w:r>
        <w:rPr>
          <w:rFonts w:hint="eastAsia" w:ascii="仿宋" w:hAnsi="仿宋" w:eastAsia="仿宋"/>
          <w:sz w:val="32"/>
          <w:szCs w:val="32"/>
        </w:rPr>
        <w:t>（四）利用职务上的便利，收受他人财物或者谋取其他利益的；</w:t>
      </w:r>
    </w:p>
    <w:p w14:paraId="15075D91">
      <w:pPr>
        <w:spacing w:line="560" w:lineRule="exact"/>
        <w:ind w:firstLine="640" w:firstLineChars="200"/>
        <w:rPr>
          <w:rFonts w:ascii="仿宋" w:hAnsi="仿宋" w:eastAsia="仿宋"/>
          <w:sz w:val="32"/>
          <w:szCs w:val="32"/>
        </w:rPr>
      </w:pPr>
      <w:r>
        <w:rPr>
          <w:rFonts w:hint="eastAsia" w:ascii="仿宋" w:hAnsi="仿宋" w:eastAsia="仿宋"/>
          <w:sz w:val="32"/>
          <w:szCs w:val="32"/>
        </w:rPr>
        <w:t>（五）不依法履行监督职责或者监督不力，造成严重后果的。</w:t>
      </w:r>
    </w:p>
    <w:p w14:paraId="70136F5C">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14:paraId="5188C711">
      <w:pPr>
        <w:spacing w:line="560" w:lineRule="exact"/>
        <w:ind w:firstLine="640" w:firstLineChars="200"/>
        <w:rPr>
          <w:rFonts w:ascii="仿宋" w:hAnsi="仿宋" w:eastAsia="仿宋"/>
          <w:sz w:val="32"/>
          <w:szCs w:val="32"/>
        </w:rPr>
      </w:pPr>
      <w:r>
        <w:rPr>
          <w:rFonts w:hint="eastAsia" w:ascii="仿宋" w:hAnsi="仿宋" w:eastAsia="仿宋"/>
          <w:sz w:val="32"/>
          <w:szCs w:val="32"/>
        </w:rPr>
        <w:t>（一）理清权责边界。针对权力交叉、监管空白等问题，根据“属地管理”原则，明确权力范围和责任范围，建立上下联动监管机制。</w:t>
      </w:r>
    </w:p>
    <w:p w14:paraId="6CA1AF4B">
      <w:pPr>
        <w:spacing w:line="560" w:lineRule="exact"/>
        <w:ind w:firstLine="640" w:firstLineChars="200"/>
        <w:rPr>
          <w:rFonts w:ascii="仿宋" w:hAnsi="仿宋" w:eastAsia="仿宋"/>
          <w:sz w:val="32"/>
          <w:szCs w:val="32"/>
        </w:rPr>
      </w:pPr>
      <w:r>
        <w:rPr>
          <w:rFonts w:hint="eastAsia" w:ascii="仿宋" w:hAnsi="仿宋" w:eastAsia="仿宋"/>
          <w:sz w:val="32"/>
          <w:szCs w:val="32"/>
        </w:rPr>
        <w:t>（二）加强人员培训。</w:t>
      </w:r>
      <w:r>
        <w:rPr>
          <w:rFonts w:hint="eastAsia" w:ascii="仿宋" w:hAnsi="仿宋" w:eastAsia="仿宋"/>
          <w:sz w:val="32"/>
          <w:szCs w:val="32"/>
          <w:lang w:eastAsia="zh-CN"/>
        </w:rPr>
        <w:t>祁门县</w:t>
      </w:r>
      <w:r>
        <w:rPr>
          <w:rFonts w:hint="eastAsia" w:ascii="仿宋" w:hAnsi="仿宋" w:eastAsia="仿宋"/>
          <w:sz w:val="32"/>
          <w:szCs w:val="32"/>
        </w:rPr>
        <w:t>住房和城乡建设局应当加强对</w:t>
      </w:r>
      <w:r>
        <w:rPr>
          <w:rFonts w:hint="eastAsia" w:ascii="仿宋" w:hAnsi="仿宋" w:eastAsia="仿宋"/>
          <w:sz w:val="32"/>
          <w:szCs w:val="32"/>
          <w:lang w:eastAsia="zh-CN"/>
        </w:rPr>
        <w:t>行政执法</w:t>
      </w:r>
      <w:r>
        <w:rPr>
          <w:rFonts w:hint="eastAsia" w:ascii="仿宋" w:hAnsi="仿宋" w:eastAsia="仿宋"/>
          <w:sz w:val="32"/>
          <w:szCs w:val="32"/>
        </w:rPr>
        <w:t>人员法律、法规、标准和专业知识与执法能力培训，并适时组织考核。不具备相应知识和能力的，不得从事建筑业行政执法工作。</w:t>
      </w:r>
    </w:p>
    <w:p w14:paraId="6E28DD01">
      <w:pPr>
        <w:spacing w:line="560" w:lineRule="exact"/>
        <w:ind w:firstLine="640" w:firstLineChars="200"/>
        <w:rPr>
          <w:rFonts w:ascii="仿宋" w:hAnsi="仿宋" w:eastAsia="仿宋"/>
          <w:sz w:val="32"/>
          <w:szCs w:val="32"/>
        </w:rPr>
      </w:pPr>
      <w:r>
        <w:rPr>
          <w:rFonts w:hint="eastAsia" w:ascii="仿宋" w:hAnsi="仿宋" w:eastAsia="仿宋"/>
          <w:sz w:val="32"/>
          <w:szCs w:val="32"/>
        </w:rPr>
        <w:t>（三）加强政策宣传。运用多种方式宣传城镇污水排水及设施处理相关法律法规，提升管理人员的公仆意识。</w:t>
      </w:r>
    </w:p>
    <w:p w14:paraId="2C396FAB">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六、主要依据</w:t>
      </w:r>
    </w:p>
    <w:p w14:paraId="1055D4CD">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sz w:val="32"/>
          <w:szCs w:val="32"/>
        </w:rPr>
        <w:t>（一）</w:t>
      </w:r>
      <w:r>
        <w:rPr>
          <w:rFonts w:hint="eastAsia" w:ascii="仿宋" w:hAnsi="仿宋" w:eastAsia="仿宋" w:cs="仿宋"/>
          <w:kern w:val="0"/>
          <w:sz w:val="32"/>
          <w:szCs w:val="32"/>
        </w:rPr>
        <w:t>《建筑起重机械安全监督管理规定》（建设部令166号）第十七条。</w:t>
      </w:r>
    </w:p>
    <w:p w14:paraId="146E567B">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kern w:val="0"/>
          <w:sz w:val="32"/>
          <w:szCs w:val="32"/>
          <w:lang w:val="en-US" w:eastAsia="zh-CN"/>
        </w:rPr>
      </w:pPr>
    </w:p>
    <w:p w14:paraId="0245B210">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仿宋" w:hAnsi="仿宋" w:eastAsia="仿宋" w:cs="仿宋"/>
          <w:bCs/>
          <w:kern w:val="0"/>
          <w:sz w:val="32"/>
          <w:szCs w:val="32"/>
          <w:lang w:val="en-US" w:eastAsia="zh-CN"/>
        </w:rPr>
      </w:pPr>
    </w:p>
    <w:p w14:paraId="3DA3BFA9">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sz w:val="32"/>
          <w:szCs w:val="32"/>
        </w:rPr>
      </w:pPr>
    </w:p>
    <w:p w14:paraId="6C71DEE0">
      <w:pPr>
        <w:keepNext w:val="0"/>
        <w:keepLines w:val="0"/>
        <w:pageBreakBefore w:val="0"/>
        <w:kinsoku/>
        <w:wordWrap/>
        <w:overflowPunct/>
        <w:topLinePunct w:val="0"/>
        <w:autoSpaceDE/>
        <w:bidi w:val="0"/>
        <w:adjustRightInd/>
        <w:snapToGrid/>
        <w:spacing w:line="560" w:lineRule="exact"/>
        <w:textAlignment w:val="auto"/>
        <w:outlineLvl w:val="9"/>
        <w:rPr>
          <w:rFonts w:hint="eastAsia" w:ascii="仿宋" w:hAnsi="仿宋" w:eastAsia="仿宋" w:cs="仿宋"/>
          <w:sz w:val="32"/>
          <w:szCs w:val="32"/>
        </w:rPr>
      </w:pPr>
    </w:p>
    <w:p w14:paraId="180DFF0D">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6AAF2CFE"/>
    <w:rsid w:val="016853DB"/>
    <w:rsid w:val="03C16E2D"/>
    <w:rsid w:val="163C7F7A"/>
    <w:rsid w:val="2EB56C15"/>
    <w:rsid w:val="31CC64FB"/>
    <w:rsid w:val="542E16B3"/>
    <w:rsid w:val="56275CC5"/>
    <w:rsid w:val="57DB3900"/>
    <w:rsid w:val="6AAF2CFE"/>
    <w:rsid w:val="6FD236FB"/>
    <w:rsid w:val="775F4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2024-01-17T16:21:00Z</dcterms:created>
  <dc:creator>沉默的小布芬</dc:creator>
  <cp:lastModifiedBy>QM-536</cp:lastModifiedBy>
  <dcterms:modified xsi:type="dcterms:W3CDTF">2026-02-10T15:09:34Z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08714EB59E62D09CAED98A694565A1F1_43</vt:lpwstr>
  </property>
</Properties>
</file>