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仿宋_GB2312"/>
          <w:sz w:val="32"/>
          <w:szCs w:val="32"/>
          <w:lang w:eastAsia="zh-CN"/>
        </w:rPr>
      </w:pPr>
      <w:r>
        <w:rPr>
          <w:rFonts w:ascii="黑体" w:hAnsi="黑体" w:eastAsia="黑体" w:cs="仿宋_GB2312"/>
          <w:sz w:val="32"/>
          <w:szCs w:val="32"/>
        </w:rPr>
        <w:t>附件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5</w:t>
      </w:r>
    </w:p>
    <w:p>
      <w:pPr>
        <w:spacing w:line="540" w:lineRule="exact"/>
        <w:jc w:val="center"/>
        <w:rPr>
          <w:rFonts w:hint="eastAsia"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Arial" w:eastAsia="方正小标宋_GBK" w:cs="Arial"/>
          <w:sz w:val="44"/>
          <w:szCs w:val="44"/>
        </w:rPr>
        <w:t>项目支出绩效评价报告</w:t>
      </w: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</w:t>
      </w:r>
      <w:r>
        <w:rPr>
          <w:rFonts w:ascii="黑体" w:hAnsi="黑体" w:eastAsia="黑体" w:cs="黑体"/>
          <w:sz w:val="32"/>
          <w:szCs w:val="32"/>
        </w:rPr>
        <w:t>基本情况</w:t>
      </w:r>
    </w:p>
    <w:p>
      <w:pPr>
        <w:spacing w:line="540" w:lineRule="exact"/>
        <w:ind w:firstLine="600"/>
        <w:outlineLvl w:val="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（一）项目概况。</w:t>
      </w:r>
    </w:p>
    <w:p>
      <w:pPr>
        <w:spacing w:line="540" w:lineRule="exact"/>
        <w:ind w:firstLine="6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祁门县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芦溪乡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年度部门预算仅包括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本级预算，无其他下属单位预算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本级包括六大办公室和两个中心,行政编制人数23人，事业编制人数16人，年末在编在岗人数36人。</w:t>
      </w:r>
    </w:p>
    <w:p>
      <w:pPr>
        <w:spacing w:line="540" w:lineRule="exact"/>
        <w:ind w:firstLine="600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乡</w:t>
      </w:r>
      <w:r>
        <w:rPr>
          <w:rFonts w:hint="eastAsia" w:ascii="Times New Roman" w:hAnsi="Times New Roman" w:eastAsia="仿宋_GB2312"/>
          <w:sz w:val="32"/>
          <w:szCs w:val="32"/>
        </w:rPr>
        <w:t>编制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年度部门预算时，全面设置部门绩效目标。绩效目标严格设置产出指标中的数量、质量、时效、成本等指标，效益指标中的经济效益、社会效益、可持续性影响和服务对象满意度等绩效指标。本单位年初设置了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个绩效目标，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年初预算数380.44万元，全年预算数644.15万元，</w:t>
      </w:r>
      <w:r>
        <w:rPr>
          <w:rFonts w:hint="eastAsia" w:ascii="Times New Roman" w:hAnsi="Times New Roman" w:eastAsia="仿宋_GB2312"/>
          <w:sz w:val="32"/>
          <w:szCs w:val="32"/>
        </w:rPr>
        <w:t>分别为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工资福利支出445.67万元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商品和服务支出41.79万元，</w:t>
      </w:r>
      <w:r>
        <w:rPr>
          <w:rFonts w:hint="eastAsia" w:ascii="Times New Roman" w:hAnsi="Times New Roman" w:eastAsia="仿宋_GB2312"/>
          <w:sz w:val="32"/>
          <w:szCs w:val="32"/>
        </w:rPr>
        <w:t>对个人和家庭的补助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11.12万元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hint="eastAsia"/>
          <w:sz w:val="32"/>
          <w:szCs w:val="32"/>
          <w:lang w:val="en-US" w:eastAsia="zh-CN"/>
        </w:rPr>
        <w:t>1-12月</w:t>
      </w:r>
      <w:r>
        <w:rPr>
          <w:rFonts w:hint="eastAsia" w:ascii="Times New Roman" w:hAnsi="Times New Roman" w:eastAsia="仿宋_GB2312"/>
          <w:sz w:val="32"/>
          <w:szCs w:val="32"/>
        </w:rPr>
        <w:t>人员工资及时发放，保证了养老保险，职业年金，医疗保险等社会保障费及住房公积金按期足额上缴；保证了政府正常运转，保证各类日常办公支出；财务方面严格按照“三公经费”预算管理的规定实施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本次选取</w:t>
      </w:r>
      <w:r>
        <w:rPr>
          <w:rFonts w:hint="eastAsia" w:ascii="Times New Roman" w:hAnsi="Times New Roman" w:eastAsia="仿宋_GB2312"/>
          <w:sz w:val="32"/>
          <w:szCs w:val="32"/>
        </w:rPr>
        <w:t>人员工资福利及日常办公支出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项目进行绩效评价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540" w:lineRule="exact"/>
        <w:ind w:firstLine="6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ascii="仿宋_GB2312" w:hAnsi="仿宋_GB2312" w:eastAsia="仿宋_GB2312" w:cs="仿宋_GB2312"/>
          <w:sz w:val="32"/>
          <w:szCs w:val="32"/>
        </w:rPr>
        <w:t>总体目标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：保证基本工资、津贴补贴、绩效工资等工资支出，保证政府正常运转，保证各类日常办公支出，财务方面严格按照“三公经费”预算管理的规定实施。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ascii="仿宋_GB2312" w:hAnsi="仿宋_GB2312" w:eastAsia="仿宋_GB2312" w:cs="仿宋_GB2312"/>
          <w:sz w:val="32"/>
          <w:szCs w:val="32"/>
        </w:rPr>
        <w:t>阶段性目标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一是及时发放员工工资，二是保证政府运转的水电费和电信费，三是完成日常公务接待。</w:t>
      </w: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二、绩效评价工作开展情况</w:t>
      </w:r>
    </w:p>
    <w:p>
      <w:pPr>
        <w:spacing w:line="540" w:lineRule="exact"/>
        <w:ind w:firstLine="6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（一）绩效评价目的、对象和范围。</w:t>
      </w:r>
    </w:p>
    <w:p>
      <w:pPr>
        <w:spacing w:line="540" w:lineRule="exact"/>
        <w:ind w:firstLine="6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1.绩效评价目的：</w:t>
      </w:r>
      <w:r>
        <w:rPr>
          <w:rFonts w:ascii="仿宋_GB2312" w:hAnsi="仿宋_GB2312" w:eastAsia="仿宋_GB2312" w:cs="仿宋_GB2312"/>
          <w:sz w:val="32"/>
          <w:szCs w:val="32"/>
        </w:rPr>
        <w:t>规范财政资金管理，强化支出责任，提高财政资金的使用效益，建立科学、合理的财政支出绩效评价管理体系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40" w:lineRule="exact"/>
        <w:ind w:firstLine="6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2.绩效评价对象：芦溪乡人民政府人员工资福利及日常办公支出。</w:t>
      </w:r>
    </w:p>
    <w:p>
      <w:pPr>
        <w:spacing w:line="540" w:lineRule="exact"/>
        <w:ind w:firstLine="6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3.绩效评价范围：“人员工资福利及日常办公支出”项目财政拨款资金。</w:t>
      </w:r>
    </w:p>
    <w:p>
      <w:pPr>
        <w:numPr>
          <w:ilvl w:val="0"/>
          <w:numId w:val="0"/>
        </w:numPr>
        <w:spacing w:line="540" w:lineRule="exact"/>
        <w:ind w:firstLine="643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绩效评价原则、评价指标体系（附表说明）、评价方法、评价标准等。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ascii="仿宋_GB2312" w:hAnsi="仿宋_GB2312" w:eastAsia="仿宋_GB2312" w:cs="仿宋_GB2312"/>
          <w:sz w:val="32"/>
          <w:szCs w:val="32"/>
        </w:rPr>
        <w:t>绩效评价原则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一是价值中立原则。财政支出绩效评价是客观评价，所有用来评价的指标均可量化，必须遵循评价价值中立原则，即财政支出绩效评价结果，只取决于单位的工作业绩的客观实际，而不取决于评价人的价值判断和个人意愿。评价结果不会因为评价人价值观念的不一致而有所不同。二是公平、公开、公正原则。从评价目标的设定、 指标体系的设计、数据填报、复核等所有环节，都必须保证评价过程的公开性、程序的规范性和合理性，应及时发现并处理评价过程中的问题，以保证评价结果的准确、客观和科学。三是客观性原则。评价以数据为准绳，坚持客观评价。项目根据填报的数据，在进行汇总、分析、评价的基础上，独立开展评价，得出评价结果，并形成评价报告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绩效评价指标体系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预算资金执行率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服务对象满意度、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项目计划产出和项目计划效益四个方面对评价目标进行逐步分解，从定性和定量两个角度综合考量。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3.</w:t>
      </w:r>
      <w:r>
        <w:rPr>
          <w:rFonts w:ascii="仿宋_GB2312" w:hAnsi="仿宋_GB2312" w:eastAsia="仿宋_GB2312" w:cs="仿宋_GB2312"/>
          <w:sz w:val="32"/>
          <w:szCs w:val="32"/>
        </w:rPr>
        <w:t>评价方法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采取自评方式，明确绩效评价内容分工和评价方法，对照年初部门预算确定的绩效目标，从产出、效益、满意度三个方面，研究确定绩效评价指标及分值。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4.绩效评价标准。计划标准、行业标准、历史标准。</w:t>
      </w:r>
    </w:p>
    <w:p>
      <w:pPr>
        <w:numPr>
          <w:ilvl w:val="0"/>
          <w:numId w:val="1"/>
        </w:numPr>
        <w:spacing w:line="540" w:lineRule="exact"/>
        <w:ind w:left="0" w:leftChars="0" w:firstLine="600" w:firstLineChars="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绩效评价工作过程。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绩效评价工作过程包括准备、实施、总结三个阶段。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准备阶段：根据绩效评价的基本原理、原则和项目特点， 结合绩效目标，在绩效评价设计过程中，广泛地收集和分析了项目的相关资料、相关政策文件，并对项目进行了前期调研。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实施阶段：一是参加财政绩效评价培训。二是确定项目评价指标体系。三是收集并审核项目佐证材料。四是开展自评工作。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总结阶段：一是撰写绩效评价报告。二是总结经验、发现问题，提出改进的意见和建议。</w:t>
      </w:r>
    </w:p>
    <w:p>
      <w:pPr>
        <w:numPr>
          <w:ilvl w:val="0"/>
          <w:numId w:val="2"/>
        </w:numPr>
        <w:spacing w:line="540" w:lineRule="exact"/>
        <w:ind w:firstLine="6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综合评价情况及评价结论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预算项目支出总额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314.41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万元，开展绩效自评项目金额合计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118.88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万元，开展绩效自评项目支出总额占本部门预算项目支出总额的比例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sz w:val="32"/>
          <w:szCs w:val="32"/>
        </w:rPr>
        <w:t>%。项目绩效自评情况如下：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部门预算项目总个数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个，自评项目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个，自评价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</w:t>
      </w:r>
      <w:r>
        <w:rPr>
          <w:rFonts w:hint="eastAsia" w:ascii="仿宋_GB2312" w:hAnsi="仿宋_GB2312" w:eastAsia="仿宋_GB2312" w:cs="仿宋_GB2312"/>
          <w:sz w:val="32"/>
          <w:szCs w:val="32"/>
        </w:rPr>
        <w:t>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如下：</w:t>
      </w:r>
    </w:p>
    <w:p>
      <w:pPr>
        <w:numPr>
          <w:ilvl w:val="0"/>
          <w:numId w:val="3"/>
        </w:num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芦溪乡亮点村资金，预算执行率99.3%，得分9.93分，指标完成情况得分89.86分，合计得分99.79分。</w:t>
      </w:r>
    </w:p>
    <w:p>
      <w:pPr>
        <w:numPr>
          <w:ilvl w:val="0"/>
          <w:numId w:val="3"/>
        </w:num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芦溪乡基础设施建设,预算执行率100%，得分10分，指标完成情况得分90分，合计得分100分。</w:t>
      </w:r>
    </w:p>
    <w:p>
      <w:pPr>
        <w:numPr>
          <w:ilvl w:val="0"/>
          <w:numId w:val="3"/>
        </w:numPr>
        <w:spacing w:line="54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基础设施维护经费,预算执行率100%，得分10分，指标完成情况得分90分，合计得分100分。</w:t>
      </w:r>
    </w:p>
    <w:p>
      <w:pPr>
        <w:numPr>
          <w:ilvl w:val="0"/>
          <w:numId w:val="3"/>
        </w:numPr>
        <w:spacing w:line="54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环境文明创建整治及应急、消防经费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,预算执行率100%，得分10分，指标完成情况得分90分，合计得分100分。</w:t>
      </w:r>
    </w:p>
    <w:p>
      <w:pPr>
        <w:spacing w:line="540" w:lineRule="exact"/>
        <w:ind w:firstLine="6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四、绩效评价指标分析</w:t>
      </w:r>
    </w:p>
    <w:p>
      <w:pPr>
        <w:spacing w:line="540" w:lineRule="exact"/>
        <w:ind w:firstLine="600"/>
        <w:outlineLvl w:val="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（一）项目决策情况。</w:t>
      </w:r>
    </w:p>
    <w:p>
      <w:pPr>
        <w:spacing w:line="540" w:lineRule="exact"/>
        <w:ind w:firstLine="6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该项目立项依据充分、过程规范,立项内容符合国家政策、发展规划要求;项目预算编制科学合理,预算内容符合项目实际需求,预算额度测算依据充分,预算投入资金量与工作内容匹配度较高。</w:t>
      </w:r>
    </w:p>
    <w:p>
      <w:pPr>
        <w:numPr>
          <w:ilvl w:val="0"/>
          <w:numId w:val="4"/>
        </w:numPr>
        <w:spacing w:line="540" w:lineRule="exact"/>
        <w:ind w:firstLine="600"/>
        <w:outlineLvl w:val="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项目过程情况。</w:t>
      </w:r>
    </w:p>
    <w:p>
      <w:pPr>
        <w:numPr>
          <w:ilvl w:val="0"/>
          <w:numId w:val="0"/>
        </w:numPr>
        <w:spacing w:line="540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项目严格按照准备、实施、总结三个阶段开展,有序推进。</w:t>
      </w:r>
    </w:p>
    <w:p>
      <w:pPr>
        <w:numPr>
          <w:ilvl w:val="0"/>
          <w:numId w:val="4"/>
        </w:numPr>
        <w:spacing w:line="540" w:lineRule="exact"/>
        <w:ind w:firstLine="600"/>
        <w:outlineLvl w:val="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项目产出情况。</w:t>
      </w:r>
    </w:p>
    <w:p>
      <w:pPr>
        <w:numPr>
          <w:ilvl w:val="0"/>
          <w:numId w:val="0"/>
        </w:numPr>
        <w:spacing w:line="540" w:lineRule="exact"/>
        <w:ind w:left="600" w:leftChars="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项目严格按照预算实施,完成质量良好。</w:t>
      </w:r>
    </w:p>
    <w:p>
      <w:pPr>
        <w:numPr>
          <w:ilvl w:val="0"/>
          <w:numId w:val="4"/>
        </w:numPr>
        <w:spacing w:line="540" w:lineRule="exact"/>
        <w:ind w:firstLine="600"/>
        <w:outlineLvl w:val="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项目效益情况。</w:t>
      </w:r>
    </w:p>
    <w:p>
      <w:pPr>
        <w:numPr>
          <w:ilvl w:val="0"/>
          <w:numId w:val="0"/>
        </w:numPr>
        <w:spacing w:line="540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按照下达的项目任务,设定工作内容及目标,制定工作实施方案,各项工作有序进行,工作既达到预期效果又能及时完成,收到了良好社会效益。</w:t>
      </w:r>
    </w:p>
    <w:p>
      <w:pPr>
        <w:numPr>
          <w:ilvl w:val="0"/>
          <w:numId w:val="2"/>
        </w:numPr>
        <w:spacing w:line="540" w:lineRule="exact"/>
        <w:ind w:left="0" w:leftChars="0" w:firstLine="600" w:firstLineChars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主要经验及做法</w:t>
      </w:r>
    </w:p>
    <w:p>
      <w:pPr>
        <w:numPr>
          <w:ilvl w:val="0"/>
          <w:numId w:val="0"/>
        </w:numPr>
        <w:spacing w:line="540" w:lineRule="exact"/>
        <w:ind w:firstLine="640" w:firstLineChars="200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主要经验及做法：要积极统筹，准确安排资金使用。</w:t>
      </w:r>
    </w:p>
    <w:p>
      <w:pPr>
        <w:numPr>
          <w:ilvl w:val="0"/>
          <w:numId w:val="2"/>
        </w:numPr>
        <w:spacing w:line="540" w:lineRule="exact"/>
        <w:ind w:left="0" w:leftChars="0" w:firstLine="600" w:firstLineChars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存在问题及原因分析</w:t>
      </w:r>
    </w:p>
    <w:p>
      <w:pPr>
        <w:numPr>
          <w:ilvl w:val="0"/>
          <w:numId w:val="0"/>
        </w:numPr>
        <w:spacing w:line="54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主要存在的问题及原因分析：</w:t>
      </w:r>
    </w:p>
    <w:p>
      <w:pPr>
        <w:numPr>
          <w:ilvl w:val="0"/>
          <w:numId w:val="0"/>
        </w:numPr>
        <w:spacing w:line="54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责任主体绩效意识不强。对绩效评价工作的重要性认识不到位，部分部门未完全对照年初设置的绩效目标开展绩效自评，不能完全反映项目实施绩效；部分部门绩效理念和意识淡薄，将绩效评价工作简单理解为财务部门的业务，没有相关业务处室参与，造成绩效评价流于形式。</w:t>
      </w:r>
    </w:p>
    <w:p>
      <w:pPr>
        <w:numPr>
          <w:ilvl w:val="0"/>
          <w:numId w:val="0"/>
        </w:numPr>
        <w:spacing w:line="540" w:lineRule="exact"/>
        <w:ind w:firstLine="640" w:firstLineChars="200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项目绩效目标编制不规范。部分项目申报时绩效目标较为简单、笼统，未根据项目实际对数量目标、质量目标、进度目标、效益指标具体细化，定量指标较少，在指导项目实施方面的可操作性不强，导致事后绩效评价缺少科学合理的衡量标准。</w:t>
      </w:r>
    </w:p>
    <w:p>
      <w:pPr>
        <w:widowControl w:val="0"/>
        <w:spacing w:line="540" w:lineRule="exact"/>
        <w:ind w:firstLine="60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七、</w:t>
      </w:r>
      <w:r>
        <w:rPr>
          <w:rFonts w:hint="eastAsia" w:ascii="黑体" w:hAnsi="黑体" w:eastAsia="黑体" w:cs="黑体"/>
          <w:sz w:val="32"/>
          <w:szCs w:val="32"/>
        </w:rPr>
        <w:t>有关建议</w:t>
      </w:r>
    </w:p>
    <w:p>
      <w:pPr>
        <w:widowControl w:val="0"/>
        <w:spacing w:line="540" w:lineRule="exact"/>
        <w:ind w:firstLine="601"/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加强对预算绩效管理工作的技能培训，提升绩效管理水平。</w:t>
      </w:r>
    </w:p>
    <w:p>
      <w:pPr>
        <w:widowControl w:val="0"/>
        <w:spacing w:line="540" w:lineRule="exact"/>
        <w:ind w:firstLine="601"/>
        <w:rPr>
          <w:rFonts w:hint="eastAsia" w:ascii="仿宋_GB2312" w:hAnsi="黑体" w:eastAsia="仿宋_GB2312" w:cs="黑体"/>
          <w:sz w:val="32"/>
          <w:szCs w:val="32"/>
        </w:rPr>
      </w:pPr>
    </w:p>
    <w:p>
      <w:pPr>
        <w:widowControl w:val="0"/>
        <w:spacing w:line="540" w:lineRule="exact"/>
        <w:ind w:firstLine="601"/>
        <w:rPr>
          <w:rFonts w:hint="eastAsia" w:ascii="仿宋_GB2312" w:hAnsi="黑体" w:eastAsia="仿宋_GB2312" w:cs="黑体"/>
          <w:sz w:val="32"/>
          <w:szCs w:val="32"/>
        </w:rPr>
      </w:pPr>
    </w:p>
    <w:p>
      <w:pPr>
        <w:widowControl w:val="0"/>
        <w:spacing w:line="540" w:lineRule="exact"/>
        <w:ind w:firstLine="601"/>
        <w:jc w:val="right"/>
        <w:rPr>
          <w:rFonts w:hint="eastAsia" w:ascii="仿宋_GB2312" w:hAnsi="黑体" w:eastAsia="仿宋_GB2312" w:cs="黑体"/>
          <w:sz w:val="32"/>
          <w:szCs w:val="32"/>
          <w:lang w:val="en-US" w:eastAsia="zh-CN"/>
        </w:rPr>
      </w:pPr>
    </w:p>
    <w:p>
      <w:pPr>
        <w:widowControl w:val="0"/>
        <w:spacing w:line="540" w:lineRule="exact"/>
        <w:ind w:firstLine="601"/>
        <w:jc w:val="right"/>
        <w:rPr>
          <w:rFonts w:hint="eastAsia" w:ascii="仿宋_GB2312" w:hAnsi="黑体" w:eastAsia="仿宋_GB2312" w:cs="黑体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祁门县芦溪乡人民政府</w:t>
      </w:r>
    </w:p>
    <w:p>
      <w:pPr>
        <w:widowControl w:val="0"/>
        <w:spacing w:line="540" w:lineRule="exact"/>
        <w:ind w:firstLine="601"/>
        <w:jc w:val="right"/>
        <w:rPr>
          <w:rFonts w:hint="default" w:ascii="仿宋_GB2312" w:hAnsi="黑体" w:eastAsia="仿宋_GB2312" w:cs="黑体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2024年4月24日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2155" w:right="1531" w:bottom="1418" w:left="1588" w:header="737" w:footer="851" w:gutter="0"/>
      <w:cols w:space="720" w:num="1"/>
      <w:docGrid w:type="lines" w:linePitch="312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A49F26"/>
    <w:multiLevelType w:val="singleLevel"/>
    <w:tmpl w:val="88A49F2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B627069"/>
    <w:multiLevelType w:val="singleLevel"/>
    <w:tmpl w:val="AB62706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622ADBC"/>
    <w:multiLevelType w:val="singleLevel"/>
    <w:tmpl w:val="2622ADB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64DD85F"/>
    <w:multiLevelType w:val="singleLevel"/>
    <w:tmpl w:val="264DD85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80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wMjQ5ZDdiYmVjYTYzNGEwMDRlODhhOWU4MzQ3ZDYifQ=="/>
  </w:docVars>
  <w:rsids>
    <w:rsidRoot w:val="00B575E0"/>
    <w:rsid w:val="00123F02"/>
    <w:rsid w:val="002972BE"/>
    <w:rsid w:val="00A556CE"/>
    <w:rsid w:val="00B575E0"/>
    <w:rsid w:val="00D068BC"/>
    <w:rsid w:val="02810A7C"/>
    <w:rsid w:val="03AD0C29"/>
    <w:rsid w:val="0D5C1D95"/>
    <w:rsid w:val="0D9C26C6"/>
    <w:rsid w:val="175B7696"/>
    <w:rsid w:val="18C1177B"/>
    <w:rsid w:val="1A236CC5"/>
    <w:rsid w:val="1C312743"/>
    <w:rsid w:val="1D83411A"/>
    <w:rsid w:val="212C3E51"/>
    <w:rsid w:val="265F2A99"/>
    <w:rsid w:val="28514B13"/>
    <w:rsid w:val="2BB75301"/>
    <w:rsid w:val="2D282AF8"/>
    <w:rsid w:val="32707A16"/>
    <w:rsid w:val="35F1068C"/>
    <w:rsid w:val="3A04322D"/>
    <w:rsid w:val="435A7F52"/>
    <w:rsid w:val="48FE2C64"/>
    <w:rsid w:val="49FC64D8"/>
    <w:rsid w:val="53956558"/>
    <w:rsid w:val="5A204411"/>
    <w:rsid w:val="5A7B0A82"/>
    <w:rsid w:val="64647360"/>
    <w:rsid w:val="67CD7572"/>
    <w:rsid w:val="6F112144"/>
    <w:rsid w:val="70477AE7"/>
    <w:rsid w:val="7ED765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2393</Words>
  <Characters>2544</Characters>
  <Lines>2</Lines>
  <Paragraphs>1</Paragraphs>
  <TotalTime>32</TotalTime>
  <ScaleCrop>false</ScaleCrop>
  <LinksUpToDate>false</LinksUpToDate>
  <CharactersWithSpaces>2553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2020-03-05T03:12:00Z</dcterms:created>
  <dc:creator>liulu</dc:creator>
  <cp:lastModifiedBy>烟火</cp:lastModifiedBy>
  <dcterms:modified xsi:type="dcterms:W3CDTF">2024-04-24T02:53:10Z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C7159CAC632942AC8681F79989AD6924_13</vt:lpwstr>
  </property>
</Properties>
</file>