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2D27">
      <w:pPr>
        <w:rPr>
          <w:rFonts w:hint="eastAsia" w:ascii="仿宋" w:hAnsi="仿宋" w:eastAsia="仿宋" w:cs="仿宋"/>
          <w:b w:val="0"/>
          <w:bCs/>
          <w:color w:val="auto"/>
          <w:sz w:val="32"/>
          <w:szCs w:val="32"/>
          <w:lang w:val="en-US" w:eastAsia="zh-CN"/>
        </w:rPr>
      </w:pPr>
      <w:bookmarkStart w:id="0" w:name="_GoBack"/>
      <w:bookmarkEnd w:id="0"/>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2：单位三公经费公开</w:t>
      </w:r>
    </w:p>
    <w:p w14:paraId="1542015B">
      <w:pPr>
        <w:jc w:val="both"/>
        <w:rPr>
          <w:rFonts w:hint="default" w:ascii="黑体" w:hAnsi="黑体" w:eastAsia="黑体" w:cs="黑体"/>
          <w:b w:val="0"/>
          <w:bCs/>
          <w:color w:val="auto"/>
          <w:sz w:val="32"/>
          <w:szCs w:val="32"/>
          <w:lang w:val="en-US" w:eastAsia="zh-CN"/>
        </w:rPr>
      </w:pPr>
    </w:p>
    <w:p w14:paraId="51FF0C17">
      <w:pPr>
        <w:jc w:val="center"/>
        <w:rPr>
          <w:rFonts w:hint="eastAsia" w:ascii="宋体" w:hAnsi="宋体"/>
          <w:b/>
          <w:color w:val="auto"/>
          <w:sz w:val="36"/>
          <w:szCs w:val="36"/>
        </w:rPr>
      </w:pPr>
      <w:r>
        <w:rPr>
          <w:rFonts w:hint="eastAsia" w:ascii="宋体" w:hAnsi="宋体"/>
          <w:b/>
          <w:color w:val="auto"/>
          <w:sz w:val="36"/>
          <w:szCs w:val="36"/>
          <w:lang w:eastAsia="zh-CN"/>
        </w:rPr>
        <w:t>祁门县公安局交通管理大队202</w:t>
      </w:r>
      <w:r>
        <w:rPr>
          <w:rFonts w:hint="eastAsia" w:ascii="宋体" w:hAnsi="宋体"/>
          <w:b/>
          <w:color w:val="auto"/>
          <w:sz w:val="36"/>
          <w:szCs w:val="36"/>
          <w:lang w:val="en-US" w:eastAsia="zh-CN"/>
        </w:rPr>
        <w:t>3</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08581CFF">
      <w:pPr>
        <w:jc w:val="center"/>
        <w:rPr>
          <w:rFonts w:hint="eastAsia" w:ascii="楷体_GB2312" w:eastAsia="楷体_GB2312"/>
          <w:color w:val="auto"/>
          <w:szCs w:val="32"/>
        </w:rPr>
      </w:pPr>
    </w:p>
    <w:p w14:paraId="6B69C452">
      <w:pPr>
        <w:rPr>
          <w:rFonts w:hint="eastAsia" w:ascii="黑体" w:hAnsi="黑体" w:eastAsia="黑体"/>
          <w:color w:val="auto"/>
          <w:szCs w:val="32"/>
        </w:rPr>
      </w:pPr>
      <w:r>
        <w:rPr>
          <w:rFonts w:hint="eastAsia" w:ascii="黑体" w:hAnsi="黑体" w:eastAsia="黑体"/>
          <w:color w:val="auto"/>
          <w:szCs w:val="32"/>
          <w:lang w:val="en-US" w:eastAsia="zh-CN"/>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年度一般公共预算财政拨款“三公”经费支出决算表</w:t>
      </w:r>
    </w:p>
    <w:p w14:paraId="7469D26C">
      <w:pPr>
        <w:jc w:val="right"/>
        <w:rPr>
          <w:rFonts w:hint="eastAsia" w:ascii="黑体" w:hAnsi="黑体" w:eastAsia="黑体"/>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CCABC71">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7297CF67">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5547D585">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6C701B0A">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14:paraId="06773BF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6FC10AC">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14:paraId="0AD0EB2D">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40.3</w:t>
            </w:r>
            <w:r>
              <w:rPr>
                <w:rFonts w:hint="eastAsia" w:ascii="宋体" w:hAnsi="宋体" w:cs="宋体"/>
                <w:b/>
                <w:bCs/>
                <w:color w:val="auto"/>
                <w:kern w:val="0"/>
                <w:szCs w:val="21"/>
              </w:rPr>
              <w:t>　</w:t>
            </w:r>
          </w:p>
        </w:tc>
        <w:tc>
          <w:tcPr>
            <w:tcW w:w="2220" w:type="dxa"/>
            <w:tcBorders>
              <w:top w:val="nil"/>
              <w:left w:val="nil"/>
              <w:bottom w:val="single" w:color="auto" w:sz="4" w:space="0"/>
              <w:right w:val="single" w:color="auto" w:sz="4" w:space="0"/>
            </w:tcBorders>
            <w:noWrap w:val="0"/>
            <w:vAlign w:val="center"/>
          </w:tcPr>
          <w:p w14:paraId="3FA2F9C2">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28.88</w:t>
            </w:r>
            <w:r>
              <w:rPr>
                <w:rFonts w:hint="eastAsia" w:ascii="宋体" w:hAnsi="宋体" w:cs="宋体"/>
                <w:b/>
                <w:bCs/>
                <w:color w:val="auto"/>
                <w:kern w:val="0"/>
                <w:szCs w:val="21"/>
              </w:rPr>
              <w:t>　</w:t>
            </w:r>
          </w:p>
        </w:tc>
      </w:tr>
      <w:tr w14:paraId="2D74392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435B223">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65371B9C">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75493B53">
            <w:pPr>
              <w:widowControl/>
              <w:jc w:val="left"/>
              <w:rPr>
                <w:rFonts w:ascii="宋体" w:hAnsi="宋体" w:cs="宋体"/>
                <w:color w:val="auto"/>
                <w:kern w:val="0"/>
                <w:szCs w:val="21"/>
              </w:rPr>
            </w:pPr>
            <w:r>
              <w:rPr>
                <w:rFonts w:hint="eastAsia" w:ascii="宋体" w:hAnsi="宋体" w:cs="宋体"/>
                <w:color w:val="auto"/>
                <w:kern w:val="0"/>
                <w:szCs w:val="21"/>
              </w:rPr>
              <w:t>　</w:t>
            </w:r>
          </w:p>
        </w:tc>
      </w:tr>
      <w:tr w14:paraId="68155A9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09B628A">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14:paraId="2AB743F4">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2.3</w:t>
            </w:r>
          </w:p>
        </w:tc>
        <w:tc>
          <w:tcPr>
            <w:tcW w:w="2220" w:type="dxa"/>
            <w:tcBorders>
              <w:top w:val="nil"/>
              <w:left w:val="nil"/>
              <w:bottom w:val="single" w:color="auto" w:sz="4" w:space="0"/>
              <w:right w:val="single" w:color="auto" w:sz="4" w:space="0"/>
            </w:tcBorders>
            <w:noWrap w:val="0"/>
            <w:vAlign w:val="bottom"/>
          </w:tcPr>
          <w:p w14:paraId="5078739A">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0.7</w:t>
            </w:r>
          </w:p>
        </w:tc>
      </w:tr>
      <w:tr w14:paraId="505805A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8B42645">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295BAF46">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38</w:t>
            </w:r>
          </w:p>
        </w:tc>
        <w:tc>
          <w:tcPr>
            <w:tcW w:w="2220" w:type="dxa"/>
            <w:tcBorders>
              <w:top w:val="nil"/>
              <w:left w:val="nil"/>
              <w:bottom w:val="single" w:color="auto" w:sz="4" w:space="0"/>
              <w:right w:val="single" w:color="auto" w:sz="4" w:space="0"/>
            </w:tcBorders>
            <w:noWrap w:val="0"/>
            <w:vAlign w:val="bottom"/>
          </w:tcPr>
          <w:p w14:paraId="25659887">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28.18</w:t>
            </w:r>
          </w:p>
        </w:tc>
      </w:tr>
      <w:tr w14:paraId="4ADB5E2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39B6F02">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3F2548A7">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3FD5537D">
            <w:pPr>
              <w:widowControl/>
              <w:jc w:val="left"/>
              <w:rPr>
                <w:rFonts w:ascii="宋体" w:hAnsi="宋体" w:cs="宋体"/>
                <w:color w:val="auto"/>
                <w:kern w:val="0"/>
                <w:szCs w:val="21"/>
              </w:rPr>
            </w:pPr>
            <w:r>
              <w:rPr>
                <w:rFonts w:hint="eastAsia" w:ascii="宋体" w:hAnsi="宋体" w:cs="宋体"/>
                <w:color w:val="auto"/>
                <w:kern w:val="0"/>
                <w:szCs w:val="21"/>
              </w:rPr>
              <w:t>　</w:t>
            </w:r>
          </w:p>
        </w:tc>
      </w:tr>
      <w:tr w14:paraId="7CD3108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32AF73A">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0A46C524">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38</w:t>
            </w:r>
          </w:p>
        </w:tc>
        <w:tc>
          <w:tcPr>
            <w:tcW w:w="2220" w:type="dxa"/>
            <w:tcBorders>
              <w:top w:val="nil"/>
              <w:left w:val="nil"/>
              <w:bottom w:val="single" w:color="auto" w:sz="4" w:space="0"/>
              <w:right w:val="single" w:color="auto" w:sz="4" w:space="0"/>
            </w:tcBorders>
            <w:noWrap w:val="0"/>
            <w:vAlign w:val="bottom"/>
          </w:tcPr>
          <w:p w14:paraId="47D350D7">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28.18</w:t>
            </w:r>
          </w:p>
        </w:tc>
      </w:tr>
    </w:tbl>
    <w:p w14:paraId="4D957AF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14:paraId="16669F7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116F290E">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2153E105">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3FD8D062">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祁门县公安局交通管理大队202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40.3</w:t>
      </w:r>
      <w:r>
        <w:rPr>
          <w:rFonts w:hint="eastAsia" w:ascii="仿宋_GB2312" w:hAnsi="仿宋"/>
          <w:color w:val="auto"/>
          <w:szCs w:val="32"/>
        </w:rPr>
        <w:t>万元，支出决算为</w:t>
      </w:r>
      <w:r>
        <w:rPr>
          <w:rFonts w:hint="eastAsia" w:ascii="仿宋_GB2312" w:hAnsi="仿宋"/>
          <w:color w:val="auto"/>
          <w:szCs w:val="32"/>
          <w:lang w:val="en-US" w:eastAsia="zh-CN"/>
        </w:rPr>
        <w:t>28.88</w:t>
      </w:r>
      <w:r>
        <w:rPr>
          <w:rFonts w:hint="eastAsia" w:ascii="仿宋_GB2312" w:hAnsi="仿宋"/>
          <w:color w:val="auto"/>
          <w:szCs w:val="32"/>
        </w:rPr>
        <w:t>万元，完成预算的</w:t>
      </w:r>
      <w:r>
        <w:rPr>
          <w:rFonts w:hint="eastAsia" w:ascii="仿宋_GB2312" w:hAnsi="仿宋"/>
          <w:color w:val="auto"/>
          <w:szCs w:val="32"/>
          <w:lang w:val="en-US" w:eastAsia="zh-CN"/>
        </w:rPr>
        <w:t>71.66</w:t>
      </w:r>
      <w:r>
        <w:rPr>
          <w:rFonts w:hint="eastAsia" w:ascii="仿宋_GB2312" w:hAnsi="仿宋"/>
          <w:color w:val="auto"/>
          <w:szCs w:val="32"/>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0.44</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1.55%。</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eastAsia="zh-CN"/>
        </w:rPr>
        <w:t>因疫情期间部分商家停业，导致部分接待费未及时结算，于</w:t>
      </w:r>
      <w:r>
        <w:rPr>
          <w:rFonts w:hint="eastAsia" w:ascii="仿宋_GB2312" w:hAnsi="仿宋"/>
          <w:color w:val="auto"/>
          <w:szCs w:val="32"/>
          <w:u w:val="none"/>
          <w:lang w:val="en-US" w:eastAsia="zh-CN"/>
        </w:rPr>
        <w:t>2023年结算。</w:t>
      </w:r>
    </w:p>
    <w:p w14:paraId="77765220">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12238A7A">
      <w:pPr>
        <w:ind w:firstLine="640" w:firstLineChars="200"/>
        <w:rPr>
          <w:rFonts w:hint="eastAsia" w:ascii="仿宋_GB2312" w:hAnsi="仿宋"/>
          <w:color w:val="auto"/>
          <w:szCs w:val="32"/>
        </w:rPr>
      </w:pPr>
      <w:r>
        <w:rPr>
          <w:rFonts w:hint="eastAsia" w:ascii="仿宋_GB2312" w:hAnsi="仿宋"/>
          <w:color w:val="auto"/>
          <w:szCs w:val="32"/>
          <w:lang w:eastAsia="zh-CN"/>
        </w:rPr>
        <w:t>祁门县公安局交通管理大队202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0.7</w:t>
      </w:r>
      <w:r>
        <w:rPr>
          <w:rFonts w:hint="eastAsia" w:ascii="仿宋_GB2312" w:hAnsi="仿宋"/>
          <w:color w:val="auto"/>
          <w:szCs w:val="32"/>
        </w:rPr>
        <w:t>万元，占</w:t>
      </w:r>
      <w:r>
        <w:rPr>
          <w:rFonts w:hint="eastAsia" w:ascii="仿宋_GB2312" w:hAnsi="仿宋"/>
          <w:color w:val="auto"/>
          <w:szCs w:val="32"/>
          <w:lang w:val="en-US" w:eastAsia="zh-CN"/>
        </w:rPr>
        <w:t>2.42</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28.18</w:t>
      </w:r>
      <w:r>
        <w:rPr>
          <w:rFonts w:hint="eastAsia" w:ascii="仿宋_GB2312" w:hAnsi="仿宋"/>
          <w:color w:val="auto"/>
          <w:szCs w:val="32"/>
        </w:rPr>
        <w:t>万元，占</w:t>
      </w:r>
      <w:r>
        <w:rPr>
          <w:rFonts w:hint="eastAsia" w:ascii="仿宋_GB2312" w:hAnsi="仿宋"/>
          <w:color w:val="auto"/>
          <w:szCs w:val="32"/>
          <w:lang w:val="en-US" w:eastAsia="zh-CN"/>
        </w:rPr>
        <w:t>97.58</w:t>
      </w:r>
      <w:r>
        <w:rPr>
          <w:rFonts w:hint="eastAsia" w:ascii="仿宋_GB2312" w:hAnsi="仿宋"/>
          <w:color w:val="auto"/>
          <w:szCs w:val="32"/>
        </w:rPr>
        <w:t>%。具体情况如下：</w:t>
      </w:r>
    </w:p>
    <w:p w14:paraId="4940FC97">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%；与上年持平。</w:t>
      </w:r>
      <w:r>
        <w:rPr>
          <w:rFonts w:hint="eastAsia" w:ascii="仿宋_GB2312" w:hAnsi="仿宋"/>
          <w:color w:val="auto"/>
          <w:szCs w:val="32"/>
        </w:rPr>
        <w:t>该项经费根据</w:t>
      </w:r>
      <w:r>
        <w:rPr>
          <w:rFonts w:hint="eastAsia" w:ascii="仿宋_GB2312" w:hAnsi="仿宋"/>
          <w:color w:val="auto"/>
          <w:szCs w:val="32"/>
          <w:lang w:eastAsia="zh-CN"/>
        </w:rPr>
        <w:t>市</w:t>
      </w:r>
      <w:r>
        <w:rPr>
          <w:rFonts w:hint="eastAsia" w:ascii="仿宋_GB2312" w:hAnsi="仿宋"/>
          <w:color w:val="auto"/>
          <w:szCs w:val="32"/>
        </w:rPr>
        <w:t>外办批准的因公临时出国（境）计划，按照规定标准安排。经费使用严格按照《祁门县财政局 祁门县政府外事办公室关于转发&lt;安徽省省直党政机关因公临时出国经费管理办法&gt;的通知》（黄财行〔2014〕68号）、《祁门县财政局祁门县人力资源和社会保障局转发&lt;安徽省省直党政机关因公短期出国培训费用管理办法&gt;的通知》（黄财社〔2014〕262号）相关规定执行。</w:t>
      </w:r>
    </w:p>
    <w:p w14:paraId="3B4A16D7">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2.3</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0.7万元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30.43</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0.5</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250%。</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eastAsia="zh-CN"/>
        </w:rPr>
        <w:t>因疫情期间部分商家停业，导致部分接待费未及时结算，于</w:t>
      </w:r>
      <w:r>
        <w:rPr>
          <w:rFonts w:hint="eastAsia" w:ascii="仿宋_GB2312" w:hAnsi="仿宋"/>
          <w:color w:val="auto"/>
          <w:szCs w:val="32"/>
          <w:u w:val="none"/>
          <w:lang w:val="en-US" w:eastAsia="zh-CN"/>
        </w:rPr>
        <w:t>2023年结算。</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祁门县公安局交通管理大队</w:t>
      </w:r>
      <w:r>
        <w:rPr>
          <w:rFonts w:hint="eastAsia" w:ascii="仿宋_GB2312" w:hAnsi="仿宋"/>
          <w:color w:val="auto"/>
          <w:szCs w:val="32"/>
        </w:rPr>
        <w:t>国内公务接待共</w:t>
      </w:r>
      <w:r>
        <w:rPr>
          <w:rFonts w:hint="eastAsia" w:ascii="仿宋_GB2312" w:hAnsi="仿宋"/>
          <w:color w:val="auto"/>
          <w:szCs w:val="32"/>
          <w:lang w:val="en-US" w:eastAsia="zh-CN"/>
        </w:rPr>
        <w:t>37</w:t>
      </w:r>
      <w:r>
        <w:rPr>
          <w:rFonts w:hint="eastAsia" w:ascii="仿宋_GB2312" w:hAnsi="仿宋"/>
          <w:color w:val="auto"/>
          <w:szCs w:val="32"/>
        </w:rPr>
        <w:t>批次，</w:t>
      </w:r>
      <w:r>
        <w:rPr>
          <w:rFonts w:hint="eastAsia" w:ascii="仿宋_GB2312" w:hAnsi="仿宋"/>
          <w:color w:val="auto"/>
          <w:szCs w:val="32"/>
          <w:lang w:val="en-US" w:eastAsia="zh-CN"/>
        </w:rPr>
        <w:t>175</w:t>
      </w:r>
      <w:r>
        <w:rPr>
          <w:rFonts w:hint="eastAsia" w:ascii="仿宋_GB2312" w:hAnsi="仿宋"/>
          <w:color w:val="auto"/>
          <w:szCs w:val="32"/>
        </w:rPr>
        <w:t>人次。主要是用于</w:t>
      </w:r>
      <w:r>
        <w:rPr>
          <w:rFonts w:ascii="仿宋_GB2312" w:hAnsi="仿宋_GB2312" w:eastAsia="仿宋_GB2312" w:cs="仿宋_GB2312"/>
          <w:b w:val="0"/>
          <w:bCs w:val="0"/>
          <w:color w:val="000000"/>
          <w:sz w:val="31"/>
          <w:szCs w:val="31"/>
        </w:rPr>
        <w:t>总队或支队互查、重大事故调研、重点隐患安全检查、车 管业务互查等</w:t>
      </w:r>
      <w:r>
        <w:rPr>
          <w:rFonts w:hint="eastAsia" w:ascii="仿宋_GB2312" w:hAnsi="仿宋"/>
          <w:color w:val="auto"/>
          <w:szCs w:val="32"/>
        </w:rPr>
        <w:t>。经费使用贯彻中央八项规定精神和省委实施细则，严格执行《党政机关厉行节约反对浪费条例》、《祁门县党政机关国内公务接待管理细则》（祁办发〔2014〕21号）相关规定。</w:t>
      </w:r>
    </w:p>
    <w:p w14:paraId="4FB08745">
      <w:pPr>
        <w:ind w:firstLine="643" w:firstLineChars="200"/>
        <w:rPr>
          <w:rFonts w:hint="eastAsia" w:ascii="仿宋_GB2312" w:eastAsia="仿宋_GB2312"/>
          <w:color w:val="auto"/>
          <w:sz w:val="32"/>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38</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28.18万元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74.16</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0.06</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0.21%。</w:t>
      </w:r>
      <w:r>
        <w:rPr>
          <w:rFonts w:hint="eastAsia" w:ascii="仿宋_GB2312" w:hAnsi="仿宋"/>
          <w:color w:val="auto"/>
          <w:szCs w:val="32"/>
          <w:u w:val="none"/>
        </w:rPr>
        <w:t>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w:t>
      </w:r>
      <w:r>
        <w:rPr>
          <w:rFonts w:hint="eastAsia" w:ascii="仿宋_GB2312" w:hAnsi="仿宋"/>
          <w:color w:val="auto"/>
          <w:szCs w:val="32"/>
          <w:u w:val="none"/>
          <w:lang w:eastAsia="zh-CN"/>
        </w:rPr>
        <w:t>厉行节约，控制支出</w:t>
      </w:r>
      <w:r>
        <w:rPr>
          <w:rFonts w:hint="eastAsia" w:ascii="仿宋_GB2312" w:hAnsi="仿宋"/>
          <w:color w:val="auto"/>
          <w:szCs w:val="32"/>
          <w:u w:val="none"/>
        </w:rPr>
        <w:t>。</w:t>
      </w:r>
      <w:r>
        <w:rPr>
          <w:rFonts w:hint="eastAsia" w:ascii="仿宋_GB2312" w:hAnsi="仿宋"/>
          <w:color w:val="auto"/>
          <w:szCs w:val="32"/>
          <w:u w:val="none"/>
          <w:lang w:val="en-US" w:eastAsia="zh-CN"/>
        </w:rPr>
        <w:t>2023年没有安排公务用车购置费。</w:t>
      </w:r>
      <w:r>
        <w:rPr>
          <w:rFonts w:hint="eastAsia" w:ascii="仿宋_GB2312" w:hAnsi="仿宋"/>
          <w:color w:val="auto"/>
          <w:szCs w:val="32"/>
        </w:rPr>
        <w:t>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38</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28.18万元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74.16</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0.06</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0.21%。</w:t>
      </w:r>
      <w:r>
        <w:rPr>
          <w:rFonts w:hint="eastAsia" w:ascii="仿宋_GB2312" w:hAnsi="仿宋"/>
          <w:color w:val="auto"/>
          <w:szCs w:val="32"/>
          <w:u w:val="none"/>
        </w:rPr>
        <w:t>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w:t>
      </w:r>
      <w:r>
        <w:rPr>
          <w:rFonts w:hint="eastAsia" w:ascii="仿宋_GB2312" w:hAnsi="仿宋"/>
          <w:color w:val="auto"/>
          <w:szCs w:val="32"/>
          <w:u w:val="none"/>
          <w:lang w:eastAsia="zh-CN"/>
        </w:rPr>
        <w:t>厉行节约，控制支出</w:t>
      </w:r>
      <w:r>
        <w:rPr>
          <w:rFonts w:hint="eastAsia" w:ascii="仿宋_GB2312" w:hAnsi="仿宋"/>
          <w:color w:val="auto"/>
          <w:szCs w:val="32"/>
          <w:u w:val="none"/>
        </w:rPr>
        <w:t>。</w:t>
      </w:r>
      <w:r>
        <w:rPr>
          <w:rFonts w:hint="eastAsia" w:ascii="仿宋_GB2312" w:hAnsi="仿宋"/>
          <w:color w:val="auto"/>
          <w:szCs w:val="32"/>
        </w:rPr>
        <w:t>公务用车运行维护费，包括车辆燃料费、维修费、过路过桥费、保险费等支出，主要用于</w:t>
      </w:r>
      <w:r>
        <w:rPr>
          <w:rFonts w:ascii="仿宋_GB2312" w:hAnsi="仿宋_GB2312" w:eastAsia="仿宋_GB2312" w:cs="仿宋_GB2312"/>
          <w:b w:val="0"/>
          <w:bCs w:val="0"/>
          <w:color w:val="000000"/>
          <w:sz w:val="31"/>
          <w:szCs w:val="31"/>
        </w:rPr>
        <w:t>公务执勤用车的 维修维护、燃油、保险费</w:t>
      </w:r>
      <w:r>
        <w:rPr>
          <w:rFonts w:hint="eastAsia" w:ascii="仿宋_GB2312" w:hAnsi="仿宋"/>
          <w:color w:val="auto"/>
          <w:szCs w:val="32"/>
        </w:rPr>
        <w:t>。截至</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年12月31日，</w:t>
      </w:r>
      <w:r>
        <w:rPr>
          <w:rFonts w:hint="eastAsia" w:ascii="仿宋_GB2312" w:hAnsi="仿宋"/>
          <w:color w:val="auto"/>
          <w:szCs w:val="32"/>
          <w:lang w:eastAsia="zh-CN"/>
        </w:rPr>
        <w:t>祁门县公安局交通管理大队</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14</w:t>
      </w:r>
      <w:r>
        <w:rPr>
          <w:rFonts w:hint="eastAsia" w:ascii="仿宋_GB2312" w:hAnsi="仿宋"/>
          <w:color w:val="auto"/>
          <w:szCs w:val="32"/>
        </w:rPr>
        <w:t>辆。</w:t>
      </w:r>
    </w:p>
    <w:p w14:paraId="5871634F">
      <w:pPr>
        <w:pStyle w:val="2"/>
        <w:ind w:left="1258" w:hanging="1258"/>
        <w:jc w:val="both"/>
        <w:rPr>
          <w:rFonts w:hint="eastAsia" w:ascii="仿宋_GB2312" w:eastAsia="仿宋_GB2312"/>
          <w:color w:val="auto"/>
          <w:sz w:val="32"/>
        </w:rPr>
      </w:pPr>
    </w:p>
    <w:p w14:paraId="1FF9AC99">
      <w:pPr>
        <w:pStyle w:val="2"/>
        <w:ind w:left="1258" w:hanging="1258"/>
        <w:jc w:val="both"/>
        <w:rPr>
          <w:rFonts w:hint="eastAsia" w:ascii="仿宋_GB2312" w:eastAsia="仿宋_GB2312"/>
          <w:color w:val="auto"/>
          <w:sz w:val="32"/>
        </w:rPr>
      </w:pPr>
    </w:p>
    <w:p w14:paraId="3E79EDE1">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16115F5"/>
    <w:rsid w:val="01F310F2"/>
    <w:rsid w:val="063815CA"/>
    <w:rsid w:val="07CD62C6"/>
    <w:rsid w:val="100560D4"/>
    <w:rsid w:val="1240431F"/>
    <w:rsid w:val="16113A6D"/>
    <w:rsid w:val="176A4419"/>
    <w:rsid w:val="18116906"/>
    <w:rsid w:val="1DFF4065"/>
    <w:rsid w:val="255120D8"/>
    <w:rsid w:val="26527C90"/>
    <w:rsid w:val="28215D92"/>
    <w:rsid w:val="29BC0C41"/>
    <w:rsid w:val="32237808"/>
    <w:rsid w:val="346E7F80"/>
    <w:rsid w:val="3542559A"/>
    <w:rsid w:val="358A766C"/>
    <w:rsid w:val="375F29AB"/>
    <w:rsid w:val="387E636D"/>
    <w:rsid w:val="39A44856"/>
    <w:rsid w:val="3B440853"/>
    <w:rsid w:val="46935C55"/>
    <w:rsid w:val="4FCF5486"/>
    <w:rsid w:val="591A49F9"/>
    <w:rsid w:val="5E6A0128"/>
    <w:rsid w:val="74295613"/>
    <w:rsid w:val="77605CB4"/>
    <w:rsid w:val="7B4C7672"/>
    <w:rsid w:val="7C7D7B3E"/>
    <w:rsid w:val="7ED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9473</Words>
  <Characters>11377</Characters>
  <Lines>0</Lines>
  <Paragraphs>0</Paragraphs>
  <TotalTime>3</TotalTime>
  <ScaleCrop>false</ScaleCrop>
  <LinksUpToDate>false</LinksUpToDate>
  <CharactersWithSpaces>11896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2024-10-15T08:10:52Z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FC470290A45845358F71E4ED1E62669B_13</vt:lpwstr>
  </property>
</Properties>
</file>