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祁门县县级行政权力中介服务清单目录</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（2021年本）</w:t>
      </w:r>
    </w:p>
    <w:p>
      <w:pPr>
        <w:jc w:val="center"/>
        <w:rPr>
          <w:rFonts w:ascii="楷体_GB2312" w:eastAsia="楷体_GB2312"/>
          <w:b/>
          <w:bCs/>
          <w:color w:val="000000"/>
          <w:kern w:val="0"/>
          <w:sz w:val="36"/>
          <w:szCs w:val="36"/>
        </w:rPr>
      </w:pPr>
      <w:r>
        <w:rPr>
          <w:rFonts w:ascii="楷体_GB2312" w:eastAsia="楷体_GB2312"/>
          <w:b/>
          <w:bCs/>
          <w:color w:val="000000"/>
          <w:kern w:val="0"/>
          <w:sz w:val="36"/>
          <w:szCs w:val="36"/>
        </w:rPr>
        <w:t>保留事项</w:t>
      </w:r>
    </w:p>
    <w:tbl>
      <w:tblPr>
        <w:tblStyle w:val="5"/>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2335"/>
        <w:gridCol w:w="3723"/>
        <w:gridCol w:w="2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707" w:type="dxa"/>
            <w:noWrap w:val="0"/>
            <w:vAlign w:val="center"/>
          </w:tcPr>
          <w:p>
            <w:pPr>
              <w:widowControl/>
              <w:jc w:val="center"/>
              <w:textAlignment w:val="center"/>
              <w:rPr>
                <w:rFonts w:ascii="黑体" w:hAnsi="黑体" w:eastAsia="黑体"/>
                <w:b/>
                <w:color w:val="000000"/>
                <w:sz w:val="24"/>
                <w:szCs w:val="24"/>
              </w:rPr>
            </w:pPr>
            <w:r>
              <w:rPr>
                <w:rFonts w:ascii="黑体" w:hAnsi="黑体" w:eastAsia="黑体"/>
                <w:b/>
                <w:color w:val="000000"/>
                <w:kern w:val="0"/>
                <w:sz w:val="24"/>
                <w:szCs w:val="24"/>
                <w:lang w:bidi="ar"/>
              </w:rPr>
              <w:t>序号</w:t>
            </w:r>
          </w:p>
        </w:tc>
        <w:tc>
          <w:tcPr>
            <w:tcW w:w="2335" w:type="dxa"/>
            <w:noWrap w:val="0"/>
            <w:vAlign w:val="center"/>
          </w:tcPr>
          <w:p>
            <w:pPr>
              <w:widowControl/>
              <w:jc w:val="center"/>
              <w:textAlignment w:val="center"/>
              <w:rPr>
                <w:rFonts w:ascii="黑体" w:hAnsi="黑体" w:eastAsia="黑体"/>
                <w:b/>
                <w:color w:val="000000"/>
                <w:sz w:val="24"/>
                <w:szCs w:val="24"/>
              </w:rPr>
            </w:pPr>
            <w:r>
              <w:rPr>
                <w:rFonts w:ascii="黑体" w:hAnsi="黑体" w:eastAsia="黑体"/>
                <w:b/>
                <w:color w:val="000000"/>
                <w:kern w:val="0"/>
                <w:sz w:val="24"/>
                <w:szCs w:val="24"/>
                <w:lang w:bidi="ar"/>
              </w:rPr>
              <w:t>事项名称</w:t>
            </w:r>
          </w:p>
        </w:tc>
        <w:tc>
          <w:tcPr>
            <w:tcW w:w="3723" w:type="dxa"/>
            <w:noWrap w:val="0"/>
            <w:vAlign w:val="center"/>
          </w:tcPr>
          <w:p>
            <w:pPr>
              <w:widowControl/>
              <w:jc w:val="center"/>
              <w:textAlignment w:val="center"/>
              <w:rPr>
                <w:rFonts w:ascii="黑体" w:hAnsi="黑体" w:eastAsia="黑体"/>
                <w:b/>
                <w:color w:val="000000"/>
                <w:sz w:val="24"/>
                <w:szCs w:val="24"/>
              </w:rPr>
            </w:pPr>
            <w:r>
              <w:rPr>
                <w:rFonts w:ascii="黑体" w:hAnsi="黑体" w:eastAsia="黑体"/>
                <w:b/>
                <w:color w:val="000000"/>
                <w:kern w:val="0"/>
                <w:sz w:val="24"/>
                <w:szCs w:val="24"/>
                <w:lang w:bidi="ar"/>
              </w:rPr>
              <w:t>对应行政权力名称</w:t>
            </w:r>
          </w:p>
        </w:tc>
        <w:tc>
          <w:tcPr>
            <w:tcW w:w="2614" w:type="dxa"/>
            <w:noWrap w:val="0"/>
            <w:vAlign w:val="center"/>
          </w:tcPr>
          <w:p>
            <w:pPr>
              <w:widowControl/>
              <w:jc w:val="center"/>
              <w:textAlignment w:val="center"/>
              <w:rPr>
                <w:rFonts w:ascii="黑体" w:hAnsi="黑体" w:eastAsia="黑体"/>
                <w:b/>
                <w:color w:val="000000"/>
                <w:sz w:val="24"/>
                <w:szCs w:val="24"/>
              </w:rPr>
            </w:pPr>
            <w:r>
              <w:rPr>
                <w:rFonts w:ascii="黑体" w:hAnsi="黑体" w:eastAsia="黑体"/>
                <w:b/>
                <w:color w:val="000000"/>
                <w:kern w:val="0"/>
                <w:sz w:val="24"/>
                <w:szCs w:val="24"/>
                <w:lang w:bidi="ar"/>
              </w:rPr>
              <w:t>委托主体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eastAsia="仿宋_GB2312"/>
                <w:color w:val="000000"/>
                <w:sz w:val="24"/>
                <w:szCs w:val="24"/>
              </w:rPr>
            </w:pPr>
            <w:r>
              <w:rPr>
                <w:rFonts w:hint="eastAsia" w:ascii="仿宋_GB2312" w:eastAsia="仿宋_GB2312"/>
                <w:b/>
                <w:color w:val="000000"/>
                <w:kern w:val="0"/>
                <w:sz w:val="24"/>
                <w:szCs w:val="24"/>
                <w:lang w:bidi="ar"/>
              </w:rPr>
              <w:t>一、县发展和改革委员会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粮食质量检验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对粮食收购者未执行国家粮食质量标准等六类情形的处罚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二、县教育局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出具教师资格认定体检证明</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教师资格认定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三、县公安局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提供机动车安全技术检验合格证明</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机动车检验合格标志核发</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提供机动车驾驶人身体条件的证明</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机动车驾驶证核发、审验</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亲子鉴定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户口内容变更登记</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精神病司法鉴定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保护性约束措施</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国家管制的精神药品或者麻醉药品测试、检验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强制检测</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驾驶人体内血液酒精含量鉴定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强制检测</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驾驶人体内血液酒精含量鉴定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对饮酒后驾驶机动车等六类违法行为的处罚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四、县民政局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社会团体登记验资</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社会团体成立、变更、注销登记及修改章程核准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社会团体注销清算报告审计</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社会团体成立、变更、注销登记及修改章程核准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社会团体法定代表人离任审计</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社会团体成立、变更、注销登记及修改章程核准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民办非企业单位登记验资</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民办非企业单位成立、变更、注销登记及修改章程核准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民办非企业单位法定代表人离任审计</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民办非企业单位成立、变更、注销登记及修改章程核准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民办非企业单位注销清算报告审计</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民办非企业单位成立、变更、注销登记及修改章程核准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五、县财政局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使用政府性资金的部门、单位的财务鉴证</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对财政违法行为的处罚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六、县自然资源和规划局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土地勘测定界报告</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临时用地审批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采矿权申请范围核查</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勘查、开采矿产资源审批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采矿权评估报告编制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开采矿产资源审批（招标拍卖挂牌情形）</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采矿权评估报告编制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开采矿产资源审批（转让情形）</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规划修改方案编制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建设项目用地预审与选址</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土地勘测定界报告</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划拨土地使用权转让、出租和地上建筑物及附着物所有权转让、出租、抵押审批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地质灾害危险性评估</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国有建设用地使用权划拨批准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8</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土地勘测定界报告</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国有建设用地使用权划拨批准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9</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土地评估报告</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国有建设用地使用权划拨批准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10</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国土资源违法行为现场勘测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对违反土地管理法律、法规、规章行为的处罚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国土资源违法行为现场勘测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对违反地质矿产资源管理法律、法规、规章行为的处罚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国土资源违法行为现场勘测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对违反测绘管理法律、法规、规章行为的处罚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规划选址专题论证报告编制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建设项目用地预审与选址</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修建性详细规划方案编制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建设工程规划类许可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对建设工程进行放线</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建设工程规划类许可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建设工程竣工核实技术报告编制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建设工程规划核实</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七、县住房和城乡建设局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施工图设计文件审查</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建筑工程施工许可证核发</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房产测绘</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房屋交易合同网签备案（商品房预售合同备案）</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人防工程平战转换预案编制</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人防工程管理转移备案</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人防工程平战转换预案编制</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人民防空工程竣工验收备案</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人防工程防护设备安装质量检测</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人民防空工程竣工验收备案</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人防工程防护设备安装质量检测</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人防工程管理转移备案</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建筑消防设施检测</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建设工程消防设计审查</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8</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建筑消防设施检测</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建设工程消防验收</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9</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出具建设工程消防施工图纸</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建设工程消防验收</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10</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出具建设工程消防施工图纸</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建设工程消防设计审查</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出具排水水质、水量检测报告</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城镇污水排水及设施处理审批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房产测绘</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房产测绘成果审核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出具房产安全鉴定报告</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城市危险房屋鉴定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出具审查合格书</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施工图审查情况备案</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15</w:t>
            </w:r>
          </w:p>
        </w:tc>
        <w:tc>
          <w:tcPr>
            <w:tcW w:w="2335" w:type="dxa"/>
            <w:noWrap/>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建筑起重机械检验检测报告</w:t>
            </w:r>
          </w:p>
        </w:tc>
        <w:tc>
          <w:tcPr>
            <w:tcW w:w="3723"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建筑起重机械使用登记</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八、县交通运输局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公路建设项目施工图设计文件编制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公路工程施工许可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招投标代理</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公路工程施工许可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项目施工第三方质量检测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公路工程施工许可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涉路（桥）施工图设计和施工方案编制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涉路施工审批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涉路（桥）施工安评报告和应急方案</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涉路施工审批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竣工决算编制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公路工程竣工质量鉴定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公路工程竣工验收质量检测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公路工程竣工质量鉴定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8</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机动车综合性能检测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车辆道路运输证配发及审验</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9</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道路运输车辆燃料消耗量检测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车辆道路运输证配发及审验</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10</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出租汽车里程计价表检定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车辆道路运输证配发及审验</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九、县农业农村水利局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项目初步设计、施工图编制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农村能源利用工程技术方案审核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农药市场抽样样品检测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对未取得农药生产许可证生产农药或者生产假农药、生产劣质农药等四类行为的处罚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肥料市场抽样品检测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对生产、销售未取得登记证的肥料产品等三类行为的处罚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br w:type="textWrapping"/>
            </w:r>
            <w:r>
              <w:rPr>
                <w:rFonts w:eastAsia="仿宋_GB2312"/>
                <w:color w:val="000000"/>
                <w:kern w:val="0"/>
                <w:sz w:val="24"/>
                <w:szCs w:val="24"/>
                <w:lang w:bidi="ar"/>
              </w:rPr>
              <w:t>水利基建项目初步设计文件编制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水利基建项目初步设计文件审批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水利工程建设蓄水安全鉴定报告编制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水利工程政府验收</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水利工程竣工检测报告编制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水利工程政府验收</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水库大坝、水闸安全评价报告编制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水库大坝、水闸安全鉴定、注册登记</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十、县文化旅游体育局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3"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建设单位在县级文物保护单位建设控制地带内作业需要委托开展的考古勘探发掘</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文物保护单位进行修缮审批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十一、县卫生健康委员会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职业病危害放射防护预评价</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放射诊疗许可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职业病危害放射防护控制效果评价</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放射诊疗许可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放射诊疗设备性能检测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放射诊疗许可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辐射工作场所放射防护检测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放射诊疗许可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放射工作人员个人剂量监测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放射诊疗许可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公共场所卫生检验、检测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公共场所卫生许可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公共场所、生活饮用水和消毒产品从业人员健康证明</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公共场所卫生许可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8</w:t>
            </w:r>
          </w:p>
        </w:tc>
        <w:tc>
          <w:tcPr>
            <w:tcW w:w="2335" w:type="dxa"/>
            <w:noWrap/>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职业病危害因素检测、评价</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职业病危害因素检测、评价</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十二、县退役军人事务局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退出现役的军人或移交政府安置的军队离休退休干部残疾等级评定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由退役军人部门负责的伤残抚恤人员残疾等级评定和调整，补换伤残证件</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带病回乡退伍军人病情认定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带病回乡退伍军人认定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十三、县市场监督管理局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出资人为集体所有制企业或者社团组织、民办非企业单位设立企业法人开业登记、注册资金变更登记</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企业登记</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计量器具检定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对属于强制检定范围的计量器具未按照规定申请检定或者检定不合格继续使用的处罚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计量器具检定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计量标准器具核准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定量包装商品计量检验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对单件定量包装商品的标注净含量与其实际含量之差大于允许短缺量的件数以及样本的平均实际含量不符合规定的处罚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产品质量检验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对生产、销售不符合保障人体健康和人身、财产安全的国家标准、行业标准的产品的处罚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产品质量检验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查封、扣押涉嫌掺杂掺假、以次充好、以假充真或者其他有严重质量问题的棉花以及专门用于生产掺杂掺假、以次充好、以假充真的棉花的设备、工具</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商品质量鉴定检验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对生产、销售不符合保障人体健康和人身、财产安全的国家标准、行业标准的产品的处罚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8</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商品质量鉴定检验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查封、扣押涉嫌掺杂掺假、以次充好、以假充真或者其他有严重质量问题的棉花以及专门用于生产掺杂掺假、以次充好、以假充真的棉花的设备、工具</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9</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商品质量鉴定检验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对损害消费者合法权益的处罚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10</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药品检验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对销售假药的处罚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药品检验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对销售劣药的处罚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药品检验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对医疗机构将其配制的制剂在市场上销售的处罚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食品检验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对生产经营严重食品安全问题的处罚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特种设备监督检验和定期检验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对特种设备检验、检测机构及其检验、检测人员未依法开展检验、检测的处罚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特种设备监督检验和定期检验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查封、扣押对有证据表明不符合安全技术规范要求或者存在严重事故隐患的特种设备实及对流入市场的达到报废条件或者已经报废的特种设备</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十四、县林业局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采伐区调查设计文件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林木采伐许可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建设项目使用林地可行性（勘验）报告编制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建设项目使用林地审核（含临时使用林地审批）</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十五、县气象局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防雷装置设计技术评价</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防雷装置设计审核和竣工验收许可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新建、改建、扩建建（构）筑物防雷装置检测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防雷装置设计审核和竣工验收许可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十六、县消防救援大队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消防火灾物证鉴定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火灾事故认定、复核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火灾直接财产损失鉴定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火灾事故认定、复核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707" w:type="dxa"/>
            <w:tcBorders>
              <w:bottom w:val="single" w:color="000000" w:sz="4" w:space="0"/>
            </w:tcBorders>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tcBorders>
              <w:bottom w:val="single" w:color="000000" w:sz="4" w:space="0"/>
            </w:tcBorders>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消防产品质量检测</w:t>
            </w:r>
          </w:p>
        </w:tc>
        <w:tc>
          <w:tcPr>
            <w:tcW w:w="3723" w:type="dxa"/>
            <w:tcBorders>
              <w:bottom w:val="single" w:color="000000" w:sz="4" w:space="0"/>
            </w:tcBorders>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对人员密集场所使用不合格或者国家明令淘汰的消防产品且逾期未改的处罚</w:t>
            </w:r>
          </w:p>
        </w:tc>
        <w:tc>
          <w:tcPr>
            <w:tcW w:w="2614" w:type="dxa"/>
            <w:tcBorders>
              <w:bottom w:val="single" w:color="000000" w:sz="4" w:space="0"/>
            </w:tcBorders>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tcBorders>
              <w:left w:val="nil"/>
              <w:right w:val="nil"/>
            </w:tcBorders>
            <w:noWrap w:val="0"/>
            <w:vAlign w:val="center"/>
          </w:tcPr>
          <w:p>
            <w:pPr>
              <w:jc w:val="center"/>
              <w:rPr>
                <w:rFonts w:hint="eastAsia" w:ascii="楷体_GB2312" w:eastAsia="楷体_GB2312"/>
                <w:b/>
                <w:bCs/>
                <w:color w:val="000000"/>
                <w:kern w:val="0"/>
                <w:sz w:val="36"/>
                <w:szCs w:val="36"/>
              </w:rPr>
            </w:pPr>
            <w:r>
              <w:rPr>
                <w:rFonts w:hint="eastAsia" w:ascii="楷体_GB2312" w:eastAsia="楷体_GB2312"/>
                <w:b/>
                <w:bCs/>
                <w:color w:val="000000"/>
                <w:kern w:val="0"/>
                <w:sz w:val="36"/>
                <w:szCs w:val="36"/>
              </w:rPr>
              <w:t>规范事项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一、县发展和改革委员会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2"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企业投资项目申请报告编制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企业投资项目核准</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申请人可按要求自行编制项目申请报告，也可委托有关机构编制，审批部门不得以任何形式要求申请人必须委托特定中介机构提供服务；保留审批部门现有的项目申请报告技术评估、评审。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二、县自然资源和规划局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0"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临时用地土地复垦方案编制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临时用地审批</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申请人可按要求自行编制土地复垦方案，也可委托有关机构编制，审批部门不得以任何形式要求申请人必须委托特定中介机构提供服务；保留审批部门现有的土地复垦方案编制技术评估、评审。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开采矿产资源土地复垦方案编制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勘查、开采矿产资源审批</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申请人可按要求自行编制土地复垦方案，也可委托有关机构编制，审批部门不得以任何形式要求申请人必须委托特定中介机构提供服务；保留审批部门现有的土地复垦方案编制技术评估、评审。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矿产资源开发利用方案编制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勘查、开采矿产资源审批</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申请人可按要求自行编制矿产资源开发利用方案，也可委托有关机构编制，审批部门不得以任何形式要求申请人必须委托特定中介机构提供服务；保留审批部门现有的矿产资源开发利用方案技术评估、评审。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矿产资源储量核实</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勘查、开采矿产资源审批</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申请人可按要求自行编制矿产资源开发利用方案，也可委托有关机构编制，审批部门不得以任何形式要求申请人必须委托特定中介机构提供服务；保留审批部门现有的矿产资源开发利用方案技术评估、评审。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矿产资源开采地质报告编制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勘查、开采矿产资源审批</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申请人可按要求自行编制矿产资源开采地质报告，也可委托有关机构编制，审批部门不得以任何形式要求申请人必须委托特定中介机构提供服务；保留审批部门现有的地质报告技术评估、评审和备案。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矿山地质环境保护与综合治理方案编制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勘查、开采矿产资源审批</w:t>
            </w:r>
          </w:p>
        </w:tc>
        <w:tc>
          <w:tcPr>
            <w:tcW w:w="2614" w:type="dxa"/>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矿山地质环境保护与综合治理恢复方案，也可委托有关机构编制，审批部门不得以任何形式要求申请人必须委托特定中介机构提供服务；保留审批部门现有的矿山地质环境保护与治理恢复方案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tcBorders>
              <w:bottom w:val="single" w:color="000000" w:sz="4" w:space="0"/>
            </w:tcBorders>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tcBorders>
              <w:bottom w:val="single" w:color="000000" w:sz="4" w:space="0"/>
            </w:tcBorders>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矿山储量年报编制</w:t>
            </w:r>
          </w:p>
        </w:tc>
        <w:tc>
          <w:tcPr>
            <w:tcW w:w="3723" w:type="dxa"/>
            <w:tcBorders>
              <w:bottom w:val="single" w:color="000000" w:sz="4" w:space="0"/>
            </w:tcBorders>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征收采矿权使用费、采矿权价款、探矿权使用费</w:t>
            </w:r>
          </w:p>
        </w:tc>
        <w:tc>
          <w:tcPr>
            <w:tcW w:w="2614" w:type="dxa"/>
            <w:tcBorders>
              <w:bottom w:val="single" w:color="000000" w:sz="4" w:space="0"/>
            </w:tcBorders>
            <w:noWrap w:val="0"/>
            <w:vAlign w:val="center"/>
          </w:tcPr>
          <w:p>
            <w:pPr>
              <w:widowControl/>
              <w:textAlignment w:val="center"/>
              <w:rPr>
                <w:rFonts w:eastAsia="仿宋_GB2312"/>
                <w:color w:val="000000"/>
                <w:sz w:val="24"/>
                <w:szCs w:val="24"/>
              </w:rPr>
            </w:pPr>
            <w:r>
              <w:rPr>
                <w:rFonts w:eastAsia="仿宋_GB2312"/>
                <w:color w:val="000000"/>
                <w:kern w:val="0"/>
                <w:sz w:val="24"/>
                <w:szCs w:val="24"/>
                <w:lang w:bidi="ar"/>
              </w:rPr>
              <w:t>申请人可按要求自行编制矿山储量年报，也可委托有关机构编制，部门不得以任何形式要求申请人必须委托特定中介机构提供服务；保留部门现有的矿山储量年报技术评估、评审。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tcBorders>
              <w:left w:val="nil"/>
              <w:right w:val="nil"/>
            </w:tcBorders>
            <w:noWrap w:val="0"/>
            <w:vAlign w:val="center"/>
          </w:tcPr>
          <w:p>
            <w:pPr>
              <w:widowControl/>
              <w:jc w:val="center"/>
              <w:textAlignment w:val="center"/>
              <w:rPr>
                <w:rFonts w:hint="eastAsia" w:ascii="楷体_GB2312" w:eastAsia="楷体_GB2312"/>
                <w:b/>
                <w:bCs/>
                <w:color w:val="000000"/>
                <w:sz w:val="36"/>
                <w:szCs w:val="36"/>
              </w:rPr>
            </w:pPr>
            <w:r>
              <w:rPr>
                <w:rFonts w:hint="eastAsia" w:ascii="楷体_GB2312" w:eastAsia="楷体_GB2312"/>
                <w:b/>
                <w:bCs/>
                <w:color w:val="000000"/>
                <w:kern w:val="0"/>
                <w:sz w:val="36"/>
                <w:szCs w:val="36"/>
                <w:lang w:bidi="ar"/>
              </w:rPr>
              <w:t>取消事项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一、县发展和改革委员会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粮食质量检验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对违反祁门县县级储备粮管理办法行为的处罚</w:t>
            </w:r>
          </w:p>
        </w:tc>
        <w:tc>
          <w:tcPr>
            <w:tcW w:w="2614"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二、县公安局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精神病司法鉴定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责令监护人对精神病人严加看管和治疗</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 xml:space="preserve"> 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事故车辆鉴定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道路交通事故认定与复核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 xml:space="preserve"> 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事故车辆鉴定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道路交通事故的检验和鉴定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 xml:space="preserve"> 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驾驶人体内血液酒精含量鉴定</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道路交通事故的检验和鉴定</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 xml:space="preserve"> 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三、县财政局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企业国有资产评估</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企业国有资本（股本）变动、产权转让（含无偿划转）审核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 xml:space="preserve">行政相对人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出具法律意见书</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企业国有资本（股本）变动、产权转让（含无偿划转）审核</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 xml:space="preserve">行政相对人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四、县住房和城乡建设局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供水水质检测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供水水质监督检查</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排水水质检测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污水排水专项检查</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3</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委托建设工程监理</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建筑工程质量安全监督</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4</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建筑工程（材料）质量检测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建筑工程质量安全监督</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5</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出具建设工程设计方案及施工图纸</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建筑工程质量安全监督</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6</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建筑起重机械检验检测</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建筑起重机械监督管理</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7</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人防工程施工图和防护方面的初步设计文件编制</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人民防空工程施工质量监督</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8</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人防工程施工图设计文件审查</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人民防空工程施工质量监督</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9</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人防工程建设监理</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人民防空工程施工质量监督</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10</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房产测绘</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商品房预售许可</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0"/>
            <w:vAlign w:val="center"/>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五、县应急管理局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jc w:val="center"/>
        </w:trPr>
        <w:tc>
          <w:tcPr>
            <w:tcW w:w="707" w:type="dxa"/>
            <w:noWrap/>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生产经营单位主要负责人、安全管理人员以及特种作业人员安全培训</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依法开展安全生产行政执法工作，对生产经营单位执行有关安全生产的法律、法规和国家标准或者行业标准的情况进行监督检查</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379" w:type="dxa"/>
            <w:gridSpan w:val="4"/>
            <w:noWrap/>
            <w:vAlign w:val="bottom"/>
          </w:tcPr>
          <w:p>
            <w:pPr>
              <w:widowControl/>
              <w:jc w:val="center"/>
              <w:textAlignment w:val="center"/>
              <w:rPr>
                <w:rFonts w:ascii="仿宋_GB2312" w:eastAsia="仿宋_GB2312"/>
                <w:b/>
                <w:color w:val="000000"/>
                <w:kern w:val="0"/>
                <w:sz w:val="24"/>
                <w:szCs w:val="24"/>
                <w:lang w:bidi="ar"/>
              </w:rPr>
            </w:pPr>
            <w:r>
              <w:rPr>
                <w:rFonts w:ascii="仿宋_GB2312" w:eastAsia="仿宋_GB2312"/>
                <w:b/>
                <w:color w:val="000000"/>
                <w:kern w:val="0"/>
                <w:sz w:val="24"/>
                <w:szCs w:val="24"/>
                <w:lang w:bidi="ar"/>
              </w:rPr>
              <w:t>六、县市场监督管理局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1</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特种设备监督检验和定期检验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特种设备安全监督检查</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07"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2</w:t>
            </w:r>
          </w:p>
        </w:tc>
        <w:tc>
          <w:tcPr>
            <w:tcW w:w="2335"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商品质量委托检验</w:t>
            </w:r>
          </w:p>
        </w:tc>
        <w:tc>
          <w:tcPr>
            <w:tcW w:w="3723" w:type="dxa"/>
            <w:noWrap w:val="0"/>
            <w:vAlign w:val="center"/>
          </w:tcPr>
          <w:p>
            <w:pPr>
              <w:widowControl/>
              <w:jc w:val="left"/>
              <w:textAlignment w:val="center"/>
              <w:rPr>
                <w:rFonts w:eastAsia="仿宋_GB2312"/>
                <w:color w:val="000000"/>
                <w:sz w:val="24"/>
                <w:szCs w:val="24"/>
              </w:rPr>
            </w:pPr>
            <w:r>
              <w:rPr>
                <w:rFonts w:eastAsia="仿宋_GB2312"/>
                <w:color w:val="000000"/>
                <w:kern w:val="0"/>
                <w:sz w:val="24"/>
                <w:szCs w:val="24"/>
                <w:lang w:bidi="ar"/>
              </w:rPr>
              <w:t>流通领域商品质量检测</w:t>
            </w:r>
          </w:p>
        </w:tc>
        <w:tc>
          <w:tcPr>
            <w:tcW w:w="2614" w:type="dxa"/>
            <w:noWrap w:val="0"/>
            <w:vAlign w:val="center"/>
          </w:tcPr>
          <w:p>
            <w:pPr>
              <w:widowControl/>
              <w:jc w:val="center"/>
              <w:textAlignment w:val="center"/>
              <w:rPr>
                <w:rFonts w:eastAsia="仿宋_GB2312"/>
                <w:color w:val="000000"/>
                <w:sz w:val="24"/>
                <w:szCs w:val="24"/>
              </w:rPr>
            </w:pPr>
            <w:r>
              <w:rPr>
                <w:rFonts w:eastAsia="仿宋_GB2312"/>
                <w:color w:val="000000"/>
                <w:kern w:val="0"/>
                <w:sz w:val="24"/>
                <w:szCs w:val="24"/>
                <w:lang w:bidi="ar"/>
              </w:rPr>
              <w:t>行政机关</w:t>
            </w:r>
          </w:p>
        </w:tc>
      </w:tr>
    </w:tbl>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jc w:val="left"/>
        <w:rPr>
          <w:rFonts w:hint="eastAsia" w:eastAsia="仿宋_GB2312"/>
          <w:color w:val="000000"/>
          <w:kern w:val="0"/>
          <w:sz w:val="24"/>
          <w:szCs w:val="24"/>
        </w:rPr>
      </w:pPr>
    </w:p>
    <w:p>
      <w:pPr>
        <w:spacing w:line="500" w:lineRule="exact"/>
        <w:ind w:firstLine="240" w:firstLineChars="100"/>
        <w:rPr>
          <w:rFonts w:eastAsia="仿宋_GB2312"/>
          <w:color w:val="000000"/>
          <w:sz w:val="24"/>
          <w:szCs w:val="24"/>
        </w:rPr>
      </w:pPr>
      <w:bookmarkStart w:id="0" w:name="_GoBack"/>
      <w:bookmarkEnd w:id="0"/>
    </w:p>
    <w:sectPr>
      <w:footerReference r:id="rId3" w:type="default"/>
      <w:pgSz w:w="11906" w:h="16838"/>
      <w:pgMar w:top="1531" w:right="1418" w:bottom="164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ind w:right="420" w:rightChars="200" w:firstLine="198" w:firstLineChars="71"/>
      <w:rPr>
        <w:rStyle w:val="7"/>
        <w:sz w:val="28"/>
        <w:szCs w:val="28"/>
      </w:rPr>
    </w:pPr>
    <w:r>
      <w:rPr>
        <w:rStyle w:val="7"/>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189</w:t>
    </w:r>
    <w:r>
      <w:rPr>
        <w:rStyle w:val="7"/>
        <w:sz w:val="28"/>
        <w:szCs w:val="28"/>
      </w:rPr>
      <w:fldChar w:fldCharType="end"/>
    </w:r>
    <w:r>
      <w:rPr>
        <w:rStyle w:val="7"/>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D2E57"/>
    <w:rsid w:val="000005A2"/>
    <w:rsid w:val="000D3F1C"/>
    <w:rsid w:val="000E1F18"/>
    <w:rsid w:val="00135C9E"/>
    <w:rsid w:val="001D5E35"/>
    <w:rsid w:val="002A4AE3"/>
    <w:rsid w:val="00326A5F"/>
    <w:rsid w:val="003E0CF5"/>
    <w:rsid w:val="004177AB"/>
    <w:rsid w:val="00422F51"/>
    <w:rsid w:val="004C6DD3"/>
    <w:rsid w:val="0054203D"/>
    <w:rsid w:val="00566467"/>
    <w:rsid w:val="00576472"/>
    <w:rsid w:val="00600216"/>
    <w:rsid w:val="00605F08"/>
    <w:rsid w:val="00607BEE"/>
    <w:rsid w:val="00647E9A"/>
    <w:rsid w:val="00671FDF"/>
    <w:rsid w:val="00727238"/>
    <w:rsid w:val="007924C0"/>
    <w:rsid w:val="00795A59"/>
    <w:rsid w:val="007E490D"/>
    <w:rsid w:val="00817F9E"/>
    <w:rsid w:val="008734EB"/>
    <w:rsid w:val="008F71FF"/>
    <w:rsid w:val="00972106"/>
    <w:rsid w:val="009736B5"/>
    <w:rsid w:val="009D3278"/>
    <w:rsid w:val="009F1DBC"/>
    <w:rsid w:val="00A87AB5"/>
    <w:rsid w:val="00AF029A"/>
    <w:rsid w:val="00B656D3"/>
    <w:rsid w:val="00BB2E47"/>
    <w:rsid w:val="00BB7E48"/>
    <w:rsid w:val="00C11B53"/>
    <w:rsid w:val="00C75F49"/>
    <w:rsid w:val="00CB5A71"/>
    <w:rsid w:val="00CC1147"/>
    <w:rsid w:val="00D501CB"/>
    <w:rsid w:val="00DC48C0"/>
    <w:rsid w:val="00E9223C"/>
    <w:rsid w:val="00EB3FDF"/>
    <w:rsid w:val="00F45B5F"/>
    <w:rsid w:val="00F57019"/>
    <w:rsid w:val="00FB0B51"/>
    <w:rsid w:val="00FD612C"/>
    <w:rsid w:val="0E7635B0"/>
    <w:rsid w:val="132A3C1C"/>
    <w:rsid w:val="17AA40CB"/>
    <w:rsid w:val="1BBB4941"/>
    <w:rsid w:val="1FB21E06"/>
    <w:rsid w:val="207C16B7"/>
    <w:rsid w:val="2B384BE2"/>
    <w:rsid w:val="2B640EA1"/>
    <w:rsid w:val="2D0D2CD8"/>
    <w:rsid w:val="39C63590"/>
    <w:rsid w:val="3C6A3836"/>
    <w:rsid w:val="473D2E57"/>
    <w:rsid w:val="4EE53365"/>
    <w:rsid w:val="51E02FBF"/>
    <w:rsid w:val="5A445CCC"/>
    <w:rsid w:val="5BEC0A57"/>
    <w:rsid w:val="780C4D2C"/>
    <w:rsid w:val="7BDD2071"/>
    <w:rsid w:val="7E856F0B"/>
    <w:rsid w:val="7F47577E"/>
    <w:rsid w:val="7F8A74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jc w:val="center"/>
      <w:outlineLvl w:val="0"/>
    </w:pPr>
    <w:rPr>
      <w:rFonts w:eastAsia="方正小标宋简体"/>
      <w:kern w:val="44"/>
      <w:sz w:val="44"/>
      <w:szCs w:val="44"/>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customStyle="1" w:styleId="8">
    <w:name w:val="Heading 1 Char"/>
    <w:basedOn w:val="6"/>
    <w:link w:val="2"/>
    <w:uiPriority w:val="9"/>
    <w:rPr>
      <w:b/>
      <w:bCs/>
      <w:kern w:val="44"/>
      <w:sz w:val="44"/>
      <w:szCs w:val="44"/>
    </w:rPr>
  </w:style>
  <w:style w:type="character" w:customStyle="1" w:styleId="9">
    <w:name w:val="Footer Char"/>
    <w:basedOn w:val="6"/>
    <w:link w:val="3"/>
    <w:semiHidden/>
    <w:uiPriority w:val="99"/>
    <w:rPr>
      <w:sz w:val="18"/>
      <w:szCs w:val="18"/>
    </w:rPr>
  </w:style>
  <w:style w:type="character" w:customStyle="1" w:styleId="10">
    <w:name w:val="Header Char"/>
    <w:basedOn w:val="6"/>
    <w:link w:val="4"/>
    <w:semiHidden/>
    <w:qFormat/>
    <w:uiPriority w:val="99"/>
    <w:rPr>
      <w:sz w:val="18"/>
      <w:szCs w:val="18"/>
    </w:rPr>
  </w:style>
  <w:style w:type="character" w:customStyle="1" w:styleId="11">
    <w:name w:val="Footer Char1"/>
    <w:basedOn w:val="6"/>
    <w:link w:val="3"/>
    <w:qFormat/>
    <w:locked/>
    <w:uiPriority w:val="99"/>
    <w:rPr>
      <w:rFonts w:eastAsia="宋体"/>
      <w:kern w:val="2"/>
      <w:sz w:val="18"/>
      <w:szCs w:val="18"/>
      <w:lang w:val="en-US" w:eastAsia="zh-CN"/>
    </w:rPr>
  </w:style>
  <w:style w:type="character" w:customStyle="1" w:styleId="12">
    <w:name w:val="UserStyle_3"/>
    <w:basedOn w:val="13"/>
    <w:uiPriority w:val="99"/>
    <w:rPr>
      <w:b/>
      <w:bCs/>
      <w:i/>
      <w:iCs/>
      <w:color w:val="auto"/>
    </w:rPr>
  </w:style>
  <w:style w:type="character" w:customStyle="1" w:styleId="13">
    <w:name w:val="NormalCharacter"/>
    <w:semiHidden/>
    <w:uiPriority w:val="99"/>
  </w:style>
  <w:style w:type="paragraph" w:customStyle="1" w:styleId="14">
    <w:name w:val="font0"/>
    <w:basedOn w:val="1"/>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5">
    <w:name w:val="font1"/>
    <w:basedOn w:val="1"/>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16">
    <w:name w:val="font2"/>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7">
    <w:name w:val="font3"/>
    <w:basedOn w:val="1"/>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18">
    <w:name w:val="font4"/>
    <w:basedOn w:val="1"/>
    <w:uiPriority w:val="99"/>
    <w:pPr>
      <w:widowControl/>
      <w:spacing w:before="100" w:beforeAutospacing="1" w:after="100" w:afterAutospacing="1"/>
      <w:jc w:val="left"/>
    </w:pPr>
    <w:rPr>
      <w:rFonts w:ascii="宋体" w:hAnsi="宋体" w:cs="宋体"/>
      <w:b/>
      <w:bCs/>
      <w:color w:val="000000"/>
      <w:kern w:val="0"/>
      <w:sz w:val="22"/>
      <w:szCs w:val="22"/>
    </w:rPr>
  </w:style>
  <w:style w:type="paragraph" w:customStyle="1" w:styleId="19">
    <w:name w:val="font5"/>
    <w:basedOn w:val="1"/>
    <w:uiPriority w:val="99"/>
    <w:pPr>
      <w:widowControl/>
      <w:spacing w:before="100" w:beforeAutospacing="1" w:after="100" w:afterAutospacing="1"/>
      <w:jc w:val="left"/>
    </w:pPr>
    <w:rPr>
      <w:rFonts w:ascii="宋体" w:hAnsi="宋体" w:cs="宋体"/>
      <w:color w:val="333333"/>
      <w:kern w:val="0"/>
      <w:sz w:val="22"/>
      <w:szCs w:val="22"/>
    </w:rPr>
  </w:style>
  <w:style w:type="paragraph" w:customStyle="1" w:styleId="20">
    <w:name w:val="font6"/>
    <w:basedOn w:val="1"/>
    <w:qFormat/>
    <w:uiPriority w:val="99"/>
    <w:pPr>
      <w:widowControl/>
      <w:spacing w:before="100" w:beforeAutospacing="1" w:after="100" w:afterAutospacing="1"/>
      <w:jc w:val="left"/>
    </w:pPr>
    <w:rPr>
      <w:rFonts w:ascii="宋体" w:hAnsi="宋体" w:cs="宋体"/>
      <w:b/>
      <w:bCs/>
      <w:color w:val="000000"/>
      <w:kern w:val="0"/>
      <w:sz w:val="20"/>
      <w:szCs w:val="20"/>
    </w:rPr>
  </w:style>
  <w:style w:type="paragraph" w:customStyle="1" w:styleId="21">
    <w:name w:val="font7"/>
    <w:basedOn w:val="1"/>
    <w:qFormat/>
    <w:uiPriority w:val="99"/>
    <w:pPr>
      <w:widowControl/>
      <w:spacing w:before="100" w:beforeAutospacing="1" w:after="100" w:afterAutospacing="1"/>
      <w:jc w:val="left"/>
    </w:pPr>
    <w:rPr>
      <w:rFonts w:ascii="宋体" w:hAnsi="宋体" w:cs="宋体"/>
      <w:b/>
      <w:bCs/>
      <w:color w:val="000000"/>
      <w:kern w:val="0"/>
      <w:sz w:val="22"/>
      <w:szCs w:val="22"/>
    </w:rPr>
  </w:style>
  <w:style w:type="paragraph" w:customStyle="1" w:styleId="22">
    <w:name w:val="font8"/>
    <w:basedOn w:val="1"/>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3">
    <w:name w:val="font9"/>
    <w:basedOn w:val="1"/>
    <w:uiPriority w:val="99"/>
    <w:pPr>
      <w:widowControl/>
      <w:spacing w:before="100" w:beforeAutospacing="1" w:after="100" w:afterAutospacing="1"/>
      <w:jc w:val="left"/>
    </w:pPr>
    <w:rPr>
      <w:rFonts w:ascii="宋体" w:hAnsi="宋体" w:cs="宋体"/>
      <w:b/>
      <w:bCs/>
      <w:color w:val="000000"/>
      <w:kern w:val="0"/>
      <w:sz w:val="22"/>
      <w:szCs w:val="22"/>
    </w:rPr>
  </w:style>
  <w:style w:type="paragraph" w:customStyle="1" w:styleId="24">
    <w:name w:val="font1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25">
    <w:name w:val="font11"/>
    <w:basedOn w:val="1"/>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26">
    <w:name w:val="et3"/>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et4"/>
    <w:basedOn w:val="1"/>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28">
    <w:name w:val="et5"/>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9">
    <w:name w:val="et8"/>
    <w:basedOn w:val="1"/>
    <w:qFormat/>
    <w:uiPriority w:val="99"/>
    <w:pPr>
      <w:widowControl/>
      <w:spacing w:before="100" w:beforeAutospacing="1" w:after="100" w:afterAutospacing="1"/>
      <w:jc w:val="center"/>
    </w:pPr>
    <w:rPr>
      <w:rFonts w:ascii="宋体" w:hAnsi="宋体" w:cs="宋体"/>
      <w:b/>
      <w:bCs/>
      <w:color w:val="000000"/>
      <w:kern w:val="0"/>
      <w:sz w:val="20"/>
      <w:szCs w:val="20"/>
    </w:rPr>
  </w:style>
  <w:style w:type="paragraph" w:customStyle="1" w:styleId="30">
    <w:name w:val="et9"/>
    <w:basedOn w:val="1"/>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31">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32">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33">
    <w:name w:val="et12"/>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34">
    <w:name w:val="et13"/>
    <w:basedOn w:val="1"/>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35">
    <w:name w:val="et14"/>
    <w:basedOn w:val="1"/>
    <w:uiPriority w:val="99"/>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36">
    <w:name w:val="et15"/>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37">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38">
    <w:name w:val="et17"/>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39">
    <w:name w:val="et18"/>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40">
    <w:name w:val="et19"/>
    <w:basedOn w:val="1"/>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41">
    <w:name w:val="et20"/>
    <w:basedOn w:val="1"/>
    <w:uiPriority w:val="99"/>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42">
    <w:name w:val="et21"/>
    <w:basedOn w:val="1"/>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43">
    <w:name w:val="et2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44">
    <w:name w:val="et23"/>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45">
    <w:name w:val="et24"/>
    <w:basedOn w:val="1"/>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46">
    <w:name w:val="et25"/>
    <w:basedOn w:val="1"/>
    <w:uiPriority w:val="99"/>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et26"/>
    <w:basedOn w:val="1"/>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48">
    <w:name w:val="et27"/>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color w:val="000000"/>
      <w:kern w:val="0"/>
      <w:sz w:val="24"/>
      <w:szCs w:val="24"/>
    </w:rPr>
  </w:style>
  <w:style w:type="paragraph" w:customStyle="1" w:styleId="49">
    <w:name w:val="et28"/>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0">
    <w:name w:val="et29"/>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1">
    <w:name w:val="et30"/>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52">
    <w:name w:val="et31"/>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53">
    <w:name w:val="et32"/>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4">
    <w:name w:val="et33"/>
    <w:basedOn w:val="1"/>
    <w:uiPriority w:val="99"/>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5">
    <w:name w:val="et34"/>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6">
    <w:name w:val="et3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57">
    <w:name w:val="et36"/>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58">
    <w:name w:val="et37"/>
    <w:basedOn w:val="1"/>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59">
    <w:name w:val="et38"/>
    <w:basedOn w:val="1"/>
    <w:uiPriority w:val="99"/>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60">
    <w:name w:val="et39"/>
    <w:basedOn w:val="1"/>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61">
    <w:name w:val="et40"/>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62">
    <w:name w:val="et41"/>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63">
    <w:name w:val="et4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64">
    <w:name w:val="et43"/>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65">
    <w:name w:val="et44"/>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et45"/>
    <w:basedOn w:val="1"/>
    <w:uiPriority w:val="99"/>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67">
    <w:name w:val="et46"/>
    <w:basedOn w:val="1"/>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et47"/>
    <w:basedOn w:val="1"/>
    <w:uiPriority w:val="99"/>
    <w:pPr>
      <w:widowControl/>
      <w:pBdr>
        <w:left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69">
    <w:name w:val="et48"/>
    <w:basedOn w:val="1"/>
    <w:uiPriority w:val="99"/>
    <w:pPr>
      <w:widowControl/>
      <w:pBdr>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0">
    <w:name w:val="et50"/>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71">
    <w:name w:val="et51"/>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72">
    <w:name w:val="et52"/>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333333"/>
      <w:kern w:val="0"/>
      <w:sz w:val="24"/>
      <w:szCs w:val="24"/>
    </w:rPr>
  </w:style>
  <w:style w:type="paragraph" w:customStyle="1" w:styleId="73">
    <w:name w:val="et53"/>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333333"/>
      <w:kern w:val="0"/>
      <w:sz w:val="24"/>
      <w:szCs w:val="24"/>
    </w:rPr>
  </w:style>
  <w:style w:type="paragraph" w:customStyle="1" w:styleId="74">
    <w:name w:val="et54"/>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333333"/>
      <w:kern w:val="0"/>
      <w:sz w:val="24"/>
      <w:szCs w:val="24"/>
    </w:rPr>
  </w:style>
  <w:style w:type="paragraph" w:customStyle="1" w:styleId="75">
    <w:name w:val="et55"/>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76">
    <w:name w:val="et56"/>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77">
    <w:name w:val="et57"/>
    <w:basedOn w:val="1"/>
    <w:uiPriority w:val="99"/>
    <w:pPr>
      <w:widowControl/>
      <w:spacing w:before="100" w:beforeAutospacing="1" w:after="100" w:afterAutospacing="1"/>
      <w:jc w:val="center"/>
    </w:pPr>
    <w:rPr>
      <w:rFonts w:ascii="宋体" w:hAnsi="宋体" w:cs="宋体"/>
      <w:b/>
      <w:bCs/>
      <w:color w:val="000000"/>
      <w:kern w:val="0"/>
      <w:sz w:val="24"/>
      <w:szCs w:val="24"/>
    </w:rPr>
  </w:style>
  <w:style w:type="paragraph" w:customStyle="1" w:styleId="78">
    <w:name w:val="et58"/>
    <w:basedOn w:val="1"/>
    <w:uiPriority w:val="99"/>
    <w:pPr>
      <w:widowControl/>
      <w:spacing w:before="100" w:beforeAutospacing="1" w:after="100" w:afterAutospacing="1"/>
      <w:jc w:val="center"/>
    </w:pPr>
    <w:rPr>
      <w:rFonts w:ascii="宋体" w:hAnsi="宋体" w:cs="宋体"/>
      <w:color w:val="000000"/>
      <w:kern w:val="0"/>
      <w:sz w:val="24"/>
      <w:szCs w:val="24"/>
    </w:rPr>
  </w:style>
  <w:style w:type="paragraph" w:customStyle="1" w:styleId="79">
    <w:name w:val="et59"/>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0">
    <w:name w:val="et60"/>
    <w:basedOn w:val="1"/>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81">
    <w:name w:val="et61"/>
    <w:basedOn w:val="1"/>
    <w:uiPriority w:val="99"/>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2">
    <w:name w:val="et62"/>
    <w:basedOn w:val="1"/>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83">
    <w:name w:val="et63"/>
    <w:basedOn w:val="1"/>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character" w:customStyle="1" w:styleId="84">
    <w:name w:val="font31"/>
    <w:basedOn w:val="6"/>
    <w:uiPriority w:val="99"/>
    <w:rPr>
      <w:rFonts w:ascii="宋体" w:hAnsi="宋体" w:eastAsia="宋体" w:cs="宋体"/>
      <w:color w:val="000000"/>
      <w:sz w:val="22"/>
      <w:szCs w:val="22"/>
      <w:u w:val="none"/>
    </w:rPr>
  </w:style>
  <w:style w:type="character" w:customStyle="1" w:styleId="85">
    <w:name w:val="font101"/>
    <w:basedOn w:val="6"/>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24466</Words>
  <Characters>139457</Characters>
  <Lines>1162</Lines>
  <Paragraphs>327</Paragraphs>
  <TotalTime>175</TotalTime>
  <ScaleCrop>false</ScaleCrop>
  <LinksUpToDate>false</LinksUpToDate>
  <CharactersWithSpaces>163596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2021-06-03T07:57:00Z</dcterms:created>
  <dc:creator>郑少维</dc:creator>
  <cp:lastModifiedBy>MILI</cp:lastModifiedBy>
  <cp:lastPrinted>2021-06-01T09:09:00Z</cp:lastPrinted>
  <dcterms:modified xsi:type="dcterms:W3CDTF">2021-06-07T07:13:34Z</dcterms:modified>
  <dc:title>祁门县人民政府文件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324115675_btnclosed</vt:lpwstr>
  </property>
  <property fmtid="{D5CDD505-2E9C-101B-9397-08002B2CF9AE}" pid="4" name="ICV">
    <vt:lpwstr>409D718655454B0786D0196C4218CD32</vt:lpwstr>
  </property>
</Properties>
</file>