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8"/>
        </w:tabs>
        <w:adjustRightInd w:val="0"/>
        <w:snapToGrid w:val="0"/>
        <w:spacing w:line="66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lang w:eastAsia="zh-CN"/>
        </w:rPr>
        <w:tab/>
      </w:r>
    </w:p>
    <w:p>
      <w:pPr>
        <w:topLinePunct/>
        <w:adjustRightInd w:val="0"/>
        <w:snapToGrid w:val="0"/>
        <w:spacing w:line="40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祁门县人民政府森林禁火令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祁政〔2023〕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35</w:t>
      </w:r>
      <w:r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号</w:t>
      </w:r>
    </w:p>
    <w:p>
      <w:pPr>
        <w:topLinePunct/>
        <w:adjustRightInd w:val="0"/>
        <w:snapToGrid w:val="0"/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各乡、镇人民政府，县政府各部门、各直属机构：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切实保护人民群众生命财产和森林资源安全，有效预防和遏制森林火灾的发生，根据《森林防火条例》第二十八条规定，特发布森林禁火令。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一、禁火时间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日至20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二、禁火区域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全县所有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森林防火区（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林地及距林地边缘100米范围内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三、禁火规定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在禁火时间和禁火区域内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，禁止一切野外用火。凡进入禁火区域活动的单位和个人要严格执行以下规定：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1．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严禁携带火源、火种和易燃物品进入禁火区域；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2．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严禁在规定的焚烧池以外烧香烧纸；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3．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严禁吸烟、野炊、打火把、烧火取暖、放孔明灯、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燃放烟花爆竹；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4．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严禁炼山、烧木炭、烧茶棵枝、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烧荒开垦、烧灰积肥、烧田埂地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杂草；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5．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严禁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私设电网、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烧火驱蜂驱兽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使用枪械狩猎、施工爆破和实弹射击；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6．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严禁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其它野外用火及易诱发森林火灾的活动。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森林、林木、林地的经营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（管护）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单位和个人，在其经营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（管护）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范围内承担森林防火责任。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违反本禁火令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，将依照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《森林防火条例》第五十条、第五十一条，《中华人民共和国治安管理处罚法》第五十条和《中华人民共和国消防法》第六十三条、第六十四条之规定，依法予以罚款、拘留等相应处罚；涉嫌犯罪的，依法追究刑事责任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各级机关、企事业单位干部职工在野外活动中违反野外用火规定的，除依照上述规定处理外，还应按相关规定追究纪律责任。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七、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森林火灾报警电话：4512657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、4513890或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110、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119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 w:val="0"/>
        <w:topLinePunct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eastAsia="宋体"/>
          <w:snapToGrid w:val="0"/>
          <w:color w:val="000000"/>
          <w:kern w:val="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  <w:r>
        <w:rPr>
          <w:rFonts w:eastAsia="宋体"/>
          <w:snapToGrid w:val="0"/>
          <w:color w:val="000000"/>
          <w:kern w:val="0"/>
        </w:rPr>
        <w:t xml:space="preserve"> 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31" w:right="1418" w:bottom="1644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rtika"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928" w:y="-584"/>
      <w:ind w:left="420" w:leftChars="200" w:right="420" w:rightChars="200"/>
      <w:rPr>
        <w:rStyle w:val="6"/>
        <w:rFonts w:ascii="Times New Roman" w:hAnsi="Times New Roman" w:eastAsia="宋体" w:cs="Times New Roman"/>
        <w:sz w:val="28"/>
        <w:szCs w:val="28"/>
      </w:rPr>
    </w:pPr>
    <w:r>
      <w:rPr>
        <w:rStyle w:val="6"/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6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6"/>
        <w:rFonts w:ascii="Times New Roman" w:hAnsi="Times New Roman" w:eastAsia="宋体" w:cs="Times New Roman"/>
        <w:sz w:val="28"/>
        <w:szCs w:val="28"/>
      </w:rPr>
      <w:t>4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6"/>
        <w:rFonts w:ascii="Times New Roman" w:hAnsi="Times New Roman" w:eastAsia="宋体" w:cs="Times New Roman"/>
        <w:sz w:val="28"/>
        <w:szCs w:val="28"/>
      </w:rPr>
      <w:t xml:space="preserve"> —</w:t>
    </w:r>
  </w:p>
  <w:p>
    <w:pPr>
      <w:pStyle w:val="2"/>
      <w:ind w:right="360" w:firstLine="36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-180340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5pt;margin-top:-14.2pt;height:0.15pt;width:442.25pt;z-index:251659264;mso-width-relative:page;mso-height-relative:page;" filled="f" stroked="t" coordsize="21600,21600" o:gfxdata="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VR+ZdUAAAAJAQAADwAAAAAAAAABACAAAAAiAAAAZHJzL2Rvd25yZXYueG1sUEsBAhQAFAAAAAgA&#10;h07iQAeoJC/vAQAAwwMAAA4AAAAAAAAAAQAgAAAAJA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eastAsia="zh-CN"/>
      </w:rPr>
      <w:t>祁门</w:t>
    </w:r>
    <w:r>
      <w:rPr>
        <w:rFonts w:hint="eastAsia" w:ascii="宋体" w:hAnsi="宋体" w:eastAsia="宋体" w:cs="宋体"/>
        <w:b/>
        <w:bCs/>
        <w:color w:val="005192"/>
        <w:sz w:val="28"/>
        <w:szCs w:val="28"/>
      </w:rPr>
      <w:t>县人民政府办公室发布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6"/>
        <w:rFonts w:hint="eastAsia" w:ascii="Times New Roman" w:hAnsi="Times New Roman" w:eastAsia="宋体" w:cs="Times New Roman"/>
        <w:sz w:val="28"/>
        <w:szCs w:val="28"/>
      </w:rPr>
    </w:pPr>
    <w:r>
      <w:rPr>
        <w:rStyle w:val="6"/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6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6"/>
        <w:rFonts w:ascii="Times New Roman" w:hAnsi="Times New Roman" w:eastAsia="宋体" w:cs="Times New Roman"/>
        <w:sz w:val="28"/>
        <w:szCs w:val="28"/>
      </w:rPr>
      <w:t>2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6"/>
        <w:rFonts w:ascii="Times New Roman" w:hAnsi="Times New Roman" w:eastAsia="宋体" w:cs="Times New Roman"/>
        <w:sz w:val="28"/>
        <w:szCs w:val="28"/>
      </w:rPr>
      <w:t xml:space="preserve"> —</w:t>
    </w:r>
    <w:r>
      <w:rPr>
        <w:rStyle w:val="6"/>
        <w:rFonts w:hint="eastAsia" w:ascii="Times New Roman" w:hAnsi="Times New Roman" w:eastAsia="宋体" w:cs="Times New Roman"/>
        <w:sz w:val="28"/>
        <w:szCs w:val="28"/>
      </w:rPr>
      <w:t xml:space="preserve">  </w:t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textAlignment w:val="center"/>
      <w:rPr>
        <w:rFonts w:ascii="宋体" w:hAnsi="宋体" w:eastAsia="宋体" w:cs="宋体"/>
        <w:b/>
        <w:bCs w:val="0"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b/>
        <w:bCs w:val="0"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8240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6vhk1QAAAAg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 w:val="0"/>
        <w:color w:val="005192"/>
        <w:sz w:val="32"/>
        <w:lang w:eastAsia="zh-CN"/>
      </w:rPr>
      <w:t>祁门县</w:t>
    </w:r>
    <w:r>
      <w:rPr>
        <w:rFonts w:hint="eastAsia" w:ascii="宋体" w:hAnsi="宋体" w:eastAsia="宋体" w:cs="宋体"/>
        <w:b/>
        <w:bCs w:val="0"/>
        <w:color w:val="005192"/>
        <w:sz w:val="32"/>
      </w:rPr>
      <w:t>人民政府</w:t>
    </w:r>
    <w:r>
      <w:rPr>
        <w:rFonts w:hint="eastAsia" w:ascii="宋体" w:hAnsi="宋体" w:eastAsia="宋体" w:cs="宋体"/>
        <w:b/>
        <w:bCs w:val="0"/>
        <w:color w:val="005192"/>
        <w:sz w:val="32"/>
        <w:szCs w:val="32"/>
      </w:rPr>
      <w:t>行政规范性文件</w:t>
    </w:r>
  </w:p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F4777"/>
    <w:rsid w:val="21BF4777"/>
    <w:rsid w:val="5D7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Kartika" w:hAnsi="Kartika" w:eastAsia="宋体" w:cs="Kartik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朽木不可周隹</dc:creator>
  <cp:lastModifiedBy>朽木不可周隹</cp:lastModifiedBy>
  <dcterms:modified xsi:type="dcterms:W3CDTF">2024-08-05T02:02:04Z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