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w:hAnsi="Helvetica" w:eastAsia="Helvetica" w:cs="Helvetica"/>
          <w:i w:val="0"/>
          <w:iCs w:val="0"/>
          <w:caps w:val="0"/>
          <w:color w:val="333333"/>
          <w:spacing w:val="0"/>
          <w:sz w:val="27"/>
          <w:szCs w:val="27"/>
        </w:rPr>
      </w:pPr>
      <w:r>
        <w:rPr>
          <w:rFonts w:hint="default" w:ascii="Helvetica" w:hAnsi="Helvetica" w:eastAsia="Helvetica" w:cs="Helvetica"/>
          <w:b/>
          <w:bCs/>
          <w:i w:val="0"/>
          <w:iCs w:val="0"/>
          <w:caps w:val="0"/>
          <w:color w:val="323534"/>
          <w:spacing w:val="0"/>
          <w:kern w:val="0"/>
          <w:sz w:val="42"/>
          <w:szCs w:val="42"/>
          <w:lang w:val="en-US" w:eastAsia="zh-CN" w:bidi="ar"/>
        </w:rPr>
        <w:t>国家税务总局 工业和信息化部关于发布《免征车辆购置税的设有固定装置的非运输专用作业车辆目录》（第九批）的公告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both"/>
        <w:rPr>
          <w:rFonts w:hint="default" w:ascii="Helvetica" w:hAnsi="Helvetica" w:eastAsia="Helvetica" w:cs="Helvetica"/>
          <w:i w:val="0"/>
          <w:iCs w:val="0"/>
          <w:caps w:val="0"/>
          <w:color w:val="005DDC"/>
          <w:spacing w:val="0"/>
          <w:sz w:val="18"/>
          <w:szCs w:val="18"/>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50"/>
        <w:gridCol w:w="6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650"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【发文单位】</w:t>
            </w:r>
          </w:p>
        </w:tc>
        <w:tc>
          <w:tcPr>
            <w:tcW w:w="6656"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国家税务总局 工业和信息化部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650"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【发布文号】</w:t>
            </w:r>
          </w:p>
        </w:tc>
        <w:tc>
          <w:tcPr>
            <w:tcW w:w="6656"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国家税务总局 工业和信息化部公告2023年第7号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650"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【发文日期】</w:t>
            </w:r>
          </w:p>
        </w:tc>
        <w:tc>
          <w:tcPr>
            <w:tcW w:w="6656"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2023-05-04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650"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【是否有效】</w:t>
            </w:r>
          </w:p>
        </w:tc>
        <w:tc>
          <w:tcPr>
            <w:tcW w:w="6656" w:type="dxa"/>
            <w:noWrap w:val="0"/>
            <w:vAlign w:val="center"/>
          </w:tcPr>
          <w:p>
            <w:pPr>
              <w:keepNext w:val="0"/>
              <w:keepLines w:val="0"/>
              <w:widowControl/>
              <w:suppressLineNumbers w:val="0"/>
              <w:spacing w:line="600" w:lineRule="atLeast"/>
              <w:jc w:val="left"/>
              <w:rPr>
                <w:rFonts w:hint="eastAsia" w:ascii="宋体" w:hAnsi="宋体" w:eastAsia="宋体" w:cs="宋体"/>
                <w:b w:val="0"/>
                <w:bCs w:val="0"/>
                <w:color w:val="4E75B5"/>
                <w:sz w:val="24"/>
                <w:szCs w:val="24"/>
              </w:rPr>
            </w:pPr>
            <w:r>
              <w:rPr>
                <w:rFonts w:hint="eastAsia" w:ascii="宋体" w:hAnsi="宋体" w:eastAsia="宋体" w:cs="宋体"/>
                <w:b w:val="0"/>
                <w:bCs w:val="0"/>
                <w:color w:val="4E75B5"/>
                <w:kern w:val="0"/>
                <w:sz w:val="24"/>
                <w:szCs w:val="24"/>
                <w:lang w:val="en-US" w:eastAsia="zh-CN" w:bidi="ar"/>
              </w:rPr>
              <w:t>全文有效</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6" w:right="0" w:firstLine="0"/>
        <w:jc w:val="both"/>
        <w:rPr>
          <w:rFonts w:hint="default" w:ascii="Helvetica" w:hAnsi="Helvetica" w:eastAsia="Helvetica" w:cs="Helvetica"/>
          <w:i w:val="0"/>
          <w:iCs w:val="0"/>
          <w:caps w:val="0"/>
          <w:color w:val="005DDC"/>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480" w:firstLineChars="20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rPr>
        <w:t>为深入贯彻落实中共中央办公厅、国务院办公厅印发的《关于进一步深化税收征管改革的意见》，更好服务市场主体，根据《财政部 税务总局 工业和信息化部关于设有固定装置的非运输专用作业车辆免</w:t>
      </w:r>
      <w:bookmarkStart w:id="0" w:name="_GoBack"/>
      <w:bookmarkEnd w:id="0"/>
      <w:r>
        <w:rPr>
          <w:rFonts w:hint="eastAsia" w:asciiTheme="minorEastAsia" w:hAnsiTheme="minorEastAsia" w:eastAsiaTheme="minorEastAsia" w:cstheme="minorEastAsia"/>
          <w:i w:val="0"/>
          <w:iCs w:val="0"/>
          <w:caps w:val="0"/>
          <w:color w:val="333333"/>
          <w:spacing w:val="0"/>
          <w:sz w:val="24"/>
          <w:szCs w:val="24"/>
        </w:rPr>
        <w:t>征车辆购置税有关政策的公告》（2020年第35号）、《国家税务总局 工业和信息化部关于设有固定装置的非运输专用作业车辆免征车辆购置税有关管理事项的公告》（2020年第20号）相关规定，现将《免征车辆购置税的设有固定装置的非运输专用作业车辆目录》（第九批，附设《免申请列入〈免征车辆购置税的设有固定装置的非运输专用作业车辆目录〉车辆名称清单》）予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480" w:firstLineChars="20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rPr>
        <w:t>特此公告。</w:t>
      </w:r>
    </w:p>
    <w:p>
      <w:pPr>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附件：免征车辆购置税的设有固定装置的非运输专用作业车辆目录（第九批）.pdf</w:t>
      </w:r>
    </w:p>
    <w:p>
      <w:pPr>
        <w:ind w:firstLine="480" w:firstLineChars="200"/>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pacing w:val="0"/>
          <w:sz w:val="24"/>
          <w:szCs w:val="24"/>
          <w:bdr w:val="none" w:color="auto" w:sz="0" w:space="0"/>
        </w:rPr>
        <w:t>国家税务总局 工业和信息化部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pacing w:val="0"/>
          <w:sz w:val="24"/>
          <w:szCs w:val="24"/>
          <w:bdr w:val="none" w:color="auto" w:sz="0" w:space="0"/>
        </w:rPr>
        <w:t>2023年5月4日</w:t>
      </w:r>
    </w:p>
    <w:p>
      <w:pPr>
        <w:pStyle w:val="2"/>
        <w:keepNext w:val="0"/>
        <w:keepLines w:val="0"/>
        <w:widowControl/>
        <w:suppressLineNumbers w:val="0"/>
        <w:spacing w:before="0" w:beforeAutospacing="0" w:after="150" w:afterAutospacing="0" w:line="450" w:lineRule="atLeast"/>
        <w:ind w:left="0" w:right="0"/>
        <w:rPr>
          <w:rFonts w:hint="eastAsia"/>
          <w:sz w:val="28"/>
          <w:szCs w:val="28"/>
        </w:rPr>
      </w:pPr>
      <w:r>
        <w:rPr>
          <w:rFonts w:ascii="Calibri" w:hAnsi="Calibri" w:eastAsia="微软雅黑" w:cs="Calibri"/>
          <w:b w:val="0"/>
          <w:bCs w:val="0"/>
          <w:color w:val="333333"/>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WZhZTFiNDhjNDZhNmE2YmJlYTZjNDQzYjRkNzUifQ=="/>
  </w:docVars>
  <w:rsids>
    <w:rsidRoot w:val="00000000"/>
    <w:rsid w:val="1D827AF3"/>
    <w:rsid w:val="4E3C3DF2"/>
    <w:rsid w:val="553F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1</TotalTime>
  <ScaleCrop>false</ScaleCrop>
  <LinksUpToDate>false</LinksUpToDate>
  <CharactersWithSpaces>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万户网络</cp:lastModifiedBy>
  <dcterms:modified xsi:type="dcterms:W3CDTF">2023-06-12T01:53:57Z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920DC6A76E9349B799ED2346A3CEDF82_12</vt:lpwstr>
  </property>
</Properties>
</file>