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10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jc w:val="center"/>
        <w:rPr>
          <w:rFonts w:eastAsia="方正小标宋简体"/>
          <w:snapToGrid w:val="0"/>
          <w:sz w:val="44"/>
          <w:szCs w:val="44"/>
        </w:rPr>
      </w:pPr>
    </w:p>
    <w:p>
      <w:pPr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sz w:val="44"/>
          <w:szCs w:val="44"/>
        </w:rPr>
        <w:t>县政协提案网上办理操作说明</w:t>
      </w:r>
    </w:p>
    <w:p>
      <w:pPr>
        <w:spacing w:line="560" w:lineRule="exact"/>
        <w:rPr>
          <w:rFonts w:eastAsia="仿宋_GB2312"/>
          <w:snapToGrid w:val="0"/>
          <w:sz w:val="32"/>
          <w:szCs w:val="32"/>
        </w:rPr>
      </w:pPr>
    </w:p>
    <w:p>
      <w:pPr>
        <w:pStyle w:val="5"/>
        <w:spacing w:line="560" w:lineRule="exact"/>
        <w:ind w:firstLine="3168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．进入系统</w:t>
      </w:r>
    </w:p>
    <w:p>
      <w:pPr>
        <w:pStyle w:val="5"/>
        <w:spacing w:line="560" w:lineRule="exact"/>
        <w:ind w:firstLine="3168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百度搜索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祁门县智慧政协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，点击直接进入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祁门县智慧政协提案综合管理平台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。（或输入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instrText xml:space="preserve"> HYPERLINK "http://www.zxtaw.com/1255" </w:instrTex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fldChar w:fldCharType="separate"/>
      </w:r>
      <w:r>
        <w:rPr>
          <w:rStyle w:val="4"/>
          <w:rFonts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http://www.zxtaw.com/1255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网址进入）。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 xml:space="preserve"> </w:t>
      </w:r>
    </w:p>
    <w:p>
      <w:pPr>
        <w:pStyle w:val="5"/>
        <w:spacing w:line="560" w:lineRule="exact"/>
        <w:ind w:firstLine="3168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．承办单位登录</w:t>
      </w:r>
    </w:p>
    <w:p>
      <w:pPr>
        <w:pStyle w:val="5"/>
        <w:spacing w:line="560" w:lineRule="exact"/>
        <w:ind w:firstLine="3168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在登录入口中选择登录身份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提案承办单位登录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，选择本单位名、输入登录密码，默认登录密码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“1”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，点击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；</w:t>
      </w:r>
    </w:p>
    <w:p>
      <w:pPr>
        <w:pStyle w:val="5"/>
        <w:spacing w:line="560" w:lineRule="exact"/>
        <w:ind w:firstLine="3168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3</w:t>
      </w:r>
      <w:r>
        <w:rPr>
          <w:rFonts w:hint="eastAsia" w:ascii="Times New Roman" w:hAnsi="Times New Roman" w:eastAsia="黑体" w:cs="黑体"/>
          <w:snapToGrid w:val="0"/>
          <w:sz w:val="32"/>
          <w:szCs w:val="32"/>
        </w:rPr>
        <w:t>．答复提案</w:t>
      </w:r>
    </w:p>
    <w:p>
      <w:pPr>
        <w:pStyle w:val="5"/>
        <w:spacing w:line="560" w:lineRule="exact"/>
        <w:ind w:firstLine="3168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点击菜单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未办理提案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，显示本届次会议中本单位所收到的未进行答复的提案，点答复对提案进行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答复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。一是选择办理结果类型；二是在答复内容框中粘贴答复文字，并将按答复格式要求排好版的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WORD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文档答复件一并上传后，再点页面底部的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答复委员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。协办的要告知主办单位，主办的负责联系委员，进行沟通对答复是否满意。</w:t>
      </w:r>
    </w:p>
    <w:p>
      <w:pPr>
        <w:pStyle w:val="5"/>
        <w:spacing w:line="560" w:lineRule="exact"/>
        <w:ind w:firstLine="3168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以上操作如有疑问请与县政协提案委联系，电话：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4527705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49E39"/>
    <w:rsid w:val="C7F49E39"/>
    <w:rsid w:val="DF7CF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  <w:style w:type="paragraph" w:customStyle="1" w:styleId="5">
    <w:name w:val="列出段落"/>
    <w:basedOn w:val="1"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2023-04-18T01:46:00Z</dcterms:created>
  <dc:creator>hss</dc:creator>
  <cp:lastModifiedBy>hss</cp:lastModifiedBy>
  <dcterms:modified xsi:type="dcterms:W3CDTF">2023-04-18T09:41:19Z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